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5C2A8" w14:textId="77777777" w:rsidR="003842FA" w:rsidRPr="00494AD6" w:rsidRDefault="003842FA" w:rsidP="003842FA">
      <w:pPr>
        <w:pStyle w:val="Title"/>
        <w:spacing w:line="260" w:lineRule="exact"/>
        <w:rPr>
          <w:rFonts w:eastAsia="Angsana New" w:cs="Times New Roman"/>
        </w:rPr>
      </w:pPr>
      <w:proofErr w:type="gramStart"/>
      <w:r w:rsidRPr="00494AD6">
        <w:rPr>
          <w:rFonts w:eastAsia="Angsana New" w:cs="Times New Roman"/>
        </w:rPr>
        <w:t>REPORT</w:t>
      </w:r>
      <w:r w:rsidR="005B133B" w:rsidRPr="00494AD6">
        <w:rPr>
          <w:rFonts w:eastAsia="Angsana New" w:cs="Times New Roman"/>
        </w:rPr>
        <w:t xml:space="preserve"> </w:t>
      </w:r>
      <w:r w:rsidRPr="00494AD6">
        <w:rPr>
          <w:rFonts w:eastAsia="Angsana New" w:cs="Times New Roman"/>
        </w:rPr>
        <w:t xml:space="preserve"> ON</w:t>
      </w:r>
      <w:proofErr w:type="gramEnd"/>
      <w:r w:rsidR="005B133B" w:rsidRPr="00494AD6">
        <w:rPr>
          <w:rFonts w:eastAsia="Angsana New" w:cs="Times New Roman"/>
        </w:rPr>
        <w:t xml:space="preserve"> </w:t>
      </w:r>
      <w:r w:rsidRPr="00494AD6">
        <w:rPr>
          <w:rFonts w:eastAsia="Angsana New" w:cs="Times New Roman"/>
        </w:rPr>
        <w:t xml:space="preserve"> REVIEW </w:t>
      </w:r>
      <w:r w:rsidR="005B133B" w:rsidRPr="00494AD6">
        <w:rPr>
          <w:rFonts w:eastAsia="Angsana New" w:cs="Times New Roman"/>
        </w:rPr>
        <w:t xml:space="preserve"> </w:t>
      </w:r>
      <w:r w:rsidRPr="00494AD6">
        <w:rPr>
          <w:rFonts w:eastAsia="Angsana New" w:cs="Times New Roman"/>
        </w:rPr>
        <w:t>OF</w:t>
      </w:r>
      <w:r w:rsidR="005B133B" w:rsidRPr="00494AD6">
        <w:rPr>
          <w:rFonts w:eastAsia="Angsana New" w:cs="Times New Roman"/>
        </w:rPr>
        <w:t xml:space="preserve"> </w:t>
      </w:r>
      <w:r w:rsidRPr="00494AD6">
        <w:rPr>
          <w:rFonts w:eastAsia="Angsana New" w:cs="Times New Roman"/>
        </w:rPr>
        <w:t xml:space="preserve"> INTERIM </w:t>
      </w:r>
      <w:r w:rsidR="005B133B" w:rsidRPr="00494AD6">
        <w:rPr>
          <w:rFonts w:eastAsia="Angsana New" w:cs="Times New Roman"/>
        </w:rPr>
        <w:t xml:space="preserve"> </w:t>
      </w:r>
      <w:r w:rsidRPr="00494AD6">
        <w:rPr>
          <w:rFonts w:eastAsia="Angsana New" w:cs="Times New Roman"/>
        </w:rPr>
        <w:t xml:space="preserve">FINANCIAL </w:t>
      </w:r>
      <w:r w:rsidR="005B133B" w:rsidRPr="00494AD6">
        <w:rPr>
          <w:rFonts w:eastAsia="Angsana New" w:cs="Times New Roman"/>
        </w:rPr>
        <w:t xml:space="preserve"> </w:t>
      </w:r>
      <w:r w:rsidRPr="00494AD6">
        <w:rPr>
          <w:rFonts w:eastAsia="Angsana New" w:cs="Times New Roman"/>
        </w:rPr>
        <w:t xml:space="preserve">INFORMATION </w:t>
      </w:r>
    </w:p>
    <w:p w14:paraId="7CE96A50" w14:textId="77777777" w:rsidR="007B3E23" w:rsidRPr="00494AD6" w:rsidRDefault="007B3E23" w:rsidP="007B3E23">
      <w:pPr>
        <w:pStyle w:val="Title"/>
        <w:spacing w:line="240" w:lineRule="auto"/>
        <w:rPr>
          <w:rFonts w:eastAsia="Angsana New" w:cs="Times New Roman"/>
          <w:sz w:val="4"/>
          <w:szCs w:val="4"/>
        </w:rPr>
      </w:pPr>
    </w:p>
    <w:p w14:paraId="21A0839D" w14:textId="77777777" w:rsidR="003842FA" w:rsidRPr="00494AD6" w:rsidRDefault="003842FA" w:rsidP="003842FA">
      <w:pPr>
        <w:pStyle w:val="Title"/>
        <w:spacing w:line="260" w:lineRule="exact"/>
        <w:rPr>
          <w:rFonts w:eastAsia="Angsana New" w:cs="Times New Roman"/>
        </w:rPr>
      </w:pPr>
      <w:proofErr w:type="gramStart"/>
      <w:r w:rsidRPr="00494AD6">
        <w:rPr>
          <w:rFonts w:eastAsia="Angsana New" w:cs="Times New Roman"/>
        </w:rPr>
        <w:t xml:space="preserve">BY </w:t>
      </w:r>
      <w:r w:rsidR="005B133B" w:rsidRPr="00494AD6">
        <w:rPr>
          <w:rFonts w:eastAsia="Angsana New" w:cs="Times New Roman"/>
        </w:rPr>
        <w:t xml:space="preserve"> </w:t>
      </w:r>
      <w:r w:rsidRPr="00494AD6">
        <w:rPr>
          <w:rFonts w:eastAsia="Angsana New" w:cs="Times New Roman"/>
        </w:rPr>
        <w:t>THE</w:t>
      </w:r>
      <w:proofErr w:type="gramEnd"/>
      <w:r w:rsidRPr="00494AD6">
        <w:rPr>
          <w:rFonts w:eastAsia="Angsana New" w:cs="Times New Roman"/>
        </w:rPr>
        <w:t xml:space="preserve"> </w:t>
      </w:r>
      <w:r w:rsidR="005B133B" w:rsidRPr="00494AD6">
        <w:rPr>
          <w:rFonts w:eastAsia="Angsana New" w:cs="Times New Roman"/>
        </w:rPr>
        <w:t xml:space="preserve"> </w:t>
      </w:r>
      <w:r w:rsidRPr="00494AD6">
        <w:rPr>
          <w:rFonts w:eastAsia="Angsana New" w:cs="Times New Roman"/>
        </w:rPr>
        <w:t>INDEPENDENT</w:t>
      </w:r>
      <w:r w:rsidR="005B133B" w:rsidRPr="00494AD6">
        <w:rPr>
          <w:rFonts w:eastAsia="Angsana New" w:cs="Times New Roman"/>
        </w:rPr>
        <w:t xml:space="preserve"> </w:t>
      </w:r>
      <w:r w:rsidRPr="00494AD6">
        <w:rPr>
          <w:rFonts w:eastAsia="Angsana New" w:cs="Times New Roman"/>
        </w:rPr>
        <w:t xml:space="preserve"> CERTIFIED </w:t>
      </w:r>
      <w:r w:rsidR="005B133B" w:rsidRPr="00494AD6">
        <w:rPr>
          <w:rFonts w:eastAsia="Angsana New" w:cs="Times New Roman"/>
        </w:rPr>
        <w:t xml:space="preserve"> </w:t>
      </w:r>
      <w:r w:rsidRPr="00494AD6">
        <w:rPr>
          <w:rFonts w:eastAsia="Angsana New" w:cs="Times New Roman"/>
        </w:rPr>
        <w:t xml:space="preserve">PUBLIC </w:t>
      </w:r>
      <w:r w:rsidR="005B133B" w:rsidRPr="00494AD6">
        <w:rPr>
          <w:rFonts w:eastAsia="Angsana New" w:cs="Times New Roman"/>
        </w:rPr>
        <w:t xml:space="preserve"> </w:t>
      </w:r>
      <w:r w:rsidRPr="00494AD6">
        <w:rPr>
          <w:rFonts w:eastAsia="Angsana New" w:cs="Times New Roman"/>
        </w:rPr>
        <w:t>ACCOUNTANTS</w:t>
      </w:r>
    </w:p>
    <w:p w14:paraId="25E5DDF3" w14:textId="77777777" w:rsidR="00B04778" w:rsidRPr="00D00DC3" w:rsidRDefault="00B04778" w:rsidP="00D00DC3">
      <w:pPr>
        <w:autoSpaceDE w:val="0"/>
        <w:autoSpaceDN w:val="0"/>
        <w:adjustRightInd w:val="0"/>
        <w:jc w:val="thaiDistribute"/>
        <w:rPr>
          <w:rFonts w:cs="Times New Roman"/>
          <w:szCs w:val="24"/>
        </w:rPr>
      </w:pPr>
    </w:p>
    <w:p w14:paraId="7E808ACA" w14:textId="77777777" w:rsidR="00B04778" w:rsidRPr="00494AD6" w:rsidRDefault="00B04778" w:rsidP="00A51826">
      <w:pPr>
        <w:spacing w:before="120"/>
        <w:jc w:val="thaiDistribute"/>
        <w:outlineLvl w:val="0"/>
        <w:rPr>
          <w:rFonts w:cs="Times New Roman"/>
          <w:b/>
          <w:bCs/>
          <w:sz w:val="20"/>
          <w:szCs w:val="20"/>
        </w:rPr>
      </w:pPr>
      <w:proofErr w:type="gramStart"/>
      <w:r w:rsidRPr="00494AD6">
        <w:rPr>
          <w:rFonts w:cs="Times New Roman"/>
          <w:b/>
          <w:bCs/>
          <w:sz w:val="20"/>
          <w:szCs w:val="20"/>
        </w:rPr>
        <w:t>TO  THE</w:t>
      </w:r>
      <w:proofErr w:type="gramEnd"/>
      <w:r w:rsidRPr="00494AD6">
        <w:rPr>
          <w:rFonts w:cs="Times New Roman"/>
          <w:b/>
          <w:bCs/>
          <w:sz w:val="20"/>
          <w:szCs w:val="20"/>
        </w:rPr>
        <w:t xml:space="preserve">  BOARD  OF  DIRECTORS</w:t>
      </w:r>
    </w:p>
    <w:p w14:paraId="50D0765A" w14:textId="77777777" w:rsidR="00D8334D" w:rsidRDefault="00D8334D" w:rsidP="00257AA6">
      <w:pPr>
        <w:ind w:right="36"/>
        <w:jc w:val="thaiDistribute"/>
        <w:rPr>
          <w:rFonts w:eastAsia="SimSun" w:cs="Times New Roman"/>
          <w:b/>
          <w:bCs/>
          <w:caps/>
          <w:sz w:val="20"/>
          <w:szCs w:val="20"/>
        </w:rPr>
      </w:pPr>
    </w:p>
    <w:p w14:paraId="24596D95" w14:textId="6DCC4719" w:rsidR="00257AA6" w:rsidRPr="00257AA6" w:rsidRDefault="00257AA6" w:rsidP="00257AA6">
      <w:pPr>
        <w:ind w:right="36"/>
        <w:jc w:val="thaiDistribute"/>
        <w:rPr>
          <w:rFonts w:eastAsia="SimSun" w:cs="Times New Roman"/>
          <w:b/>
          <w:bCs/>
          <w:caps/>
          <w:sz w:val="20"/>
          <w:szCs w:val="20"/>
          <w:cs/>
          <w:lang w:val="en-GB"/>
        </w:rPr>
      </w:pPr>
      <w:proofErr w:type="gramStart"/>
      <w:r w:rsidRPr="00257AA6">
        <w:rPr>
          <w:rFonts w:eastAsia="SimSun" w:cs="Times New Roman"/>
          <w:b/>
          <w:bCs/>
          <w:caps/>
          <w:sz w:val="20"/>
          <w:szCs w:val="20"/>
        </w:rPr>
        <w:t>Everland</w:t>
      </w:r>
      <w:r w:rsidRPr="00257AA6">
        <w:rPr>
          <w:rFonts w:eastAsia="SimSun" w:cs="Times New Roman"/>
          <w:b/>
          <w:bCs/>
          <w:caps/>
          <w:sz w:val="20"/>
          <w:szCs w:val="20"/>
          <w:lang w:val="en-GB"/>
        </w:rPr>
        <w:t xml:space="preserve">  Public</w:t>
      </w:r>
      <w:proofErr w:type="gramEnd"/>
      <w:r w:rsidRPr="00257AA6">
        <w:rPr>
          <w:rFonts w:eastAsia="SimSun" w:cs="Times New Roman"/>
          <w:b/>
          <w:bCs/>
          <w:caps/>
          <w:sz w:val="20"/>
          <w:szCs w:val="20"/>
          <w:lang w:val="en-GB"/>
        </w:rPr>
        <w:t xml:space="preserve">  </w:t>
      </w:r>
      <w:r w:rsidRPr="00257AA6">
        <w:rPr>
          <w:rFonts w:eastAsia="SimSun" w:cs="Times New Roman"/>
          <w:b/>
          <w:bCs/>
          <w:sz w:val="20"/>
          <w:szCs w:val="20"/>
        </w:rPr>
        <w:t>COMPANY</w:t>
      </w:r>
      <w:r w:rsidR="00744958">
        <w:rPr>
          <w:rFonts w:eastAsia="SimSun" w:cs="Times New Roman"/>
          <w:b/>
          <w:bCs/>
          <w:caps/>
          <w:sz w:val="20"/>
          <w:szCs w:val="20"/>
          <w:lang w:val="en-GB"/>
        </w:rPr>
        <w:t xml:space="preserve">  Limited</w:t>
      </w:r>
    </w:p>
    <w:p w14:paraId="15CDACE5" w14:textId="77777777" w:rsidR="003F4E52" w:rsidRDefault="003F4E52" w:rsidP="003F4E52">
      <w:pPr>
        <w:jc w:val="both"/>
        <w:rPr>
          <w:rFonts w:eastAsia="SimSun" w:cs="Times New Roman"/>
          <w:szCs w:val="24"/>
          <w:lang w:eastAsia="ja-JP"/>
        </w:rPr>
      </w:pPr>
    </w:p>
    <w:p w14:paraId="0E6E96C6" w14:textId="2E3E3359" w:rsidR="003F4E52" w:rsidRPr="00961603" w:rsidRDefault="00892551" w:rsidP="00961603">
      <w:pPr>
        <w:jc w:val="both"/>
        <w:rPr>
          <w:rFonts w:cs="Times New Roman"/>
          <w:color w:val="000000"/>
          <w:spacing w:val="-2"/>
          <w:szCs w:val="24"/>
        </w:rPr>
      </w:pPr>
      <w:r w:rsidRPr="00465309">
        <w:rPr>
          <w:rFonts w:cs="Times New Roman"/>
          <w:spacing w:val="-2"/>
          <w:szCs w:val="24"/>
        </w:rPr>
        <w:t xml:space="preserve">We have reviewed </w:t>
      </w:r>
      <w:r w:rsidRPr="00465309">
        <w:rPr>
          <w:rFonts w:cs="Times New Roman"/>
          <w:color w:val="000000"/>
          <w:spacing w:val="-2"/>
          <w:szCs w:val="24"/>
        </w:rPr>
        <w:t>the consolidated statement of financial position of</w:t>
      </w:r>
      <w:r w:rsidRPr="00465309">
        <w:rPr>
          <w:rFonts w:cs="Times New Roman"/>
          <w:spacing w:val="-2"/>
          <w:szCs w:val="24"/>
        </w:rPr>
        <w:t xml:space="preserve"> Everland Public Company Limited </w:t>
      </w:r>
      <w:r w:rsidR="00F836BB" w:rsidRPr="00465309">
        <w:rPr>
          <w:rFonts w:cs="Times New Roman"/>
          <w:spacing w:val="-2"/>
          <w:szCs w:val="24"/>
        </w:rPr>
        <w:t xml:space="preserve">and </w:t>
      </w:r>
      <w:r w:rsidR="0067648E">
        <w:rPr>
          <w:spacing w:val="-2"/>
          <w:szCs w:val="30"/>
        </w:rPr>
        <w:t xml:space="preserve">its </w:t>
      </w:r>
      <w:r w:rsidRPr="00465309">
        <w:rPr>
          <w:rFonts w:cs="Times New Roman"/>
          <w:spacing w:val="-2"/>
          <w:szCs w:val="24"/>
        </w:rPr>
        <w:t xml:space="preserve">subsidiaries </w:t>
      </w:r>
      <w:r w:rsidRPr="00465309">
        <w:rPr>
          <w:rFonts w:cs="Times New Roman"/>
          <w:color w:val="000000"/>
          <w:spacing w:val="-2"/>
          <w:szCs w:val="24"/>
        </w:rPr>
        <w:t xml:space="preserve">and the </w:t>
      </w:r>
      <w:r w:rsidRPr="00465309">
        <w:rPr>
          <w:spacing w:val="-2"/>
          <w:szCs w:val="24"/>
        </w:rPr>
        <w:t>separate</w:t>
      </w:r>
      <w:r w:rsidRPr="00465309">
        <w:rPr>
          <w:rFonts w:cs="Times New Roman"/>
          <w:spacing w:val="-2"/>
          <w:szCs w:val="24"/>
        </w:rPr>
        <w:t xml:space="preserve"> </w:t>
      </w:r>
      <w:r w:rsidRPr="00465309">
        <w:rPr>
          <w:rFonts w:cs="Times New Roman"/>
          <w:color w:val="000000"/>
          <w:spacing w:val="-2"/>
          <w:szCs w:val="24"/>
        </w:rPr>
        <w:t>statement of financial position</w:t>
      </w:r>
      <w:r w:rsidRPr="00465309">
        <w:rPr>
          <w:rFonts w:cs="Times New Roman"/>
          <w:color w:val="000000"/>
          <w:spacing w:val="-2"/>
          <w:szCs w:val="24"/>
          <w:cs/>
        </w:rPr>
        <w:t xml:space="preserve"> </w:t>
      </w:r>
      <w:r w:rsidRPr="00465309">
        <w:rPr>
          <w:rFonts w:cs="Times New Roman"/>
          <w:color w:val="000000"/>
          <w:spacing w:val="-2"/>
          <w:szCs w:val="24"/>
        </w:rPr>
        <w:t>of</w:t>
      </w:r>
      <w:r w:rsidRPr="00465309">
        <w:rPr>
          <w:rFonts w:cs="Times New Roman"/>
          <w:spacing w:val="-2"/>
          <w:szCs w:val="24"/>
        </w:rPr>
        <w:t xml:space="preserve"> Everland Public Company Limited as at </w:t>
      </w:r>
      <w:r w:rsidR="007B7FEA">
        <w:rPr>
          <w:rFonts w:cs="Cordia New"/>
          <w:spacing w:val="-2"/>
          <w:szCs w:val="24"/>
        </w:rPr>
        <w:t>June 30</w:t>
      </w:r>
      <w:r w:rsidR="004B074A">
        <w:rPr>
          <w:rFonts w:cs="Times New Roman"/>
          <w:spacing w:val="-2"/>
          <w:szCs w:val="24"/>
        </w:rPr>
        <w:t xml:space="preserve">, </w:t>
      </w:r>
      <w:r w:rsidR="009515FF" w:rsidRPr="009515FF">
        <w:rPr>
          <w:spacing w:val="-2"/>
          <w:szCs w:val="24"/>
        </w:rPr>
        <w:t>202</w:t>
      </w:r>
      <w:r w:rsidR="006812CF">
        <w:rPr>
          <w:spacing w:val="-2"/>
          <w:szCs w:val="24"/>
        </w:rPr>
        <w:t>5</w:t>
      </w:r>
      <w:r w:rsidRPr="00465309">
        <w:rPr>
          <w:rFonts w:cs="Times New Roman"/>
          <w:spacing w:val="-2"/>
          <w:szCs w:val="24"/>
        </w:rPr>
        <w:t xml:space="preserve"> and the related consolidated and </w:t>
      </w:r>
      <w:r w:rsidRPr="00465309">
        <w:rPr>
          <w:spacing w:val="-2"/>
          <w:szCs w:val="24"/>
        </w:rPr>
        <w:t>separate</w:t>
      </w:r>
      <w:r w:rsidRPr="00465309">
        <w:rPr>
          <w:rFonts w:cs="Times New Roman"/>
          <w:spacing w:val="-2"/>
          <w:szCs w:val="24"/>
        </w:rPr>
        <w:t xml:space="preserve"> statements of profit or loss and other comprehensive income</w:t>
      </w:r>
      <w:r w:rsidR="007619A3">
        <w:rPr>
          <w:rFonts w:cs="Times New Roman"/>
          <w:spacing w:val="-2"/>
          <w:szCs w:val="24"/>
        </w:rPr>
        <w:t xml:space="preserve"> </w:t>
      </w:r>
      <w:r w:rsidR="007C3319">
        <w:rPr>
          <w:rFonts w:cs="Times New Roman"/>
          <w:color w:val="000000"/>
          <w:szCs w:val="24"/>
        </w:rPr>
        <w:t xml:space="preserve">for the three-month and </w:t>
      </w:r>
      <w:r w:rsidR="007C3319" w:rsidRPr="00241314">
        <w:rPr>
          <w:rFonts w:cs="Times New Roman"/>
          <w:color w:val="000000"/>
          <w:szCs w:val="24"/>
        </w:rPr>
        <w:t xml:space="preserve">six-month periods ended June </w:t>
      </w:r>
      <w:r w:rsidR="007C3319" w:rsidRPr="00241314">
        <w:rPr>
          <w:color w:val="000000"/>
          <w:szCs w:val="24"/>
        </w:rPr>
        <w:t>30</w:t>
      </w:r>
      <w:r w:rsidR="007C3319" w:rsidRPr="00241314">
        <w:rPr>
          <w:rFonts w:cs="Times New Roman"/>
          <w:color w:val="000000"/>
          <w:szCs w:val="24"/>
        </w:rPr>
        <w:t>, 2025</w:t>
      </w:r>
      <w:r w:rsidRPr="00465309">
        <w:rPr>
          <w:rFonts w:cs="Times New Roman"/>
          <w:spacing w:val="-2"/>
          <w:szCs w:val="24"/>
        </w:rPr>
        <w:t>,</w:t>
      </w:r>
      <w:r w:rsidR="00CA7180">
        <w:rPr>
          <w:rFonts w:cstheme="minorBidi" w:hint="cs"/>
          <w:spacing w:val="-2"/>
          <w:szCs w:val="24"/>
          <w:cs/>
        </w:rPr>
        <w:t xml:space="preserve"> </w:t>
      </w:r>
      <w:r w:rsidR="00CA7180">
        <w:rPr>
          <w:rFonts w:cs="Times New Roman"/>
          <w:color w:val="000000"/>
          <w:szCs w:val="24"/>
        </w:rPr>
        <w:t xml:space="preserve">and the related consolidated and </w:t>
      </w:r>
      <w:r w:rsidR="00CA7180" w:rsidRPr="00CA7180">
        <w:rPr>
          <w:rFonts w:cs="Times New Roman"/>
          <w:color w:val="000000"/>
          <w:szCs w:val="24"/>
        </w:rPr>
        <w:t>separate</w:t>
      </w:r>
      <w:r w:rsidR="00CA7180">
        <w:rPr>
          <w:rFonts w:cs="Times New Roman"/>
          <w:color w:val="000000"/>
          <w:szCs w:val="24"/>
        </w:rPr>
        <w:t xml:space="preserve"> statements of</w:t>
      </w:r>
      <w:r w:rsidRPr="00465309">
        <w:rPr>
          <w:rFonts w:cs="Times New Roman"/>
          <w:spacing w:val="-2"/>
          <w:szCs w:val="24"/>
        </w:rPr>
        <w:t xml:space="preserve"> changes in shareholders’ equity and cash flows </w:t>
      </w:r>
      <w:r w:rsidR="00E04734">
        <w:rPr>
          <w:rFonts w:cs="Times New Roman"/>
          <w:color w:val="000000"/>
          <w:spacing w:val="-2"/>
          <w:szCs w:val="24"/>
        </w:rPr>
        <w:t>for the</w:t>
      </w:r>
      <w:r w:rsidRPr="00465309">
        <w:rPr>
          <w:rFonts w:cs="Times New Roman"/>
          <w:color w:val="000000"/>
          <w:spacing w:val="-2"/>
          <w:szCs w:val="24"/>
        </w:rPr>
        <w:t xml:space="preserve"> </w:t>
      </w:r>
      <w:r w:rsidR="00241314">
        <w:rPr>
          <w:color w:val="000000"/>
          <w:spacing w:val="-2"/>
          <w:szCs w:val="30"/>
        </w:rPr>
        <w:t>six</w:t>
      </w:r>
      <w:r w:rsidR="00CB130B" w:rsidRPr="00465309">
        <w:rPr>
          <w:rFonts w:cs="Times New Roman"/>
          <w:color w:val="000000"/>
          <w:spacing w:val="-2"/>
          <w:szCs w:val="24"/>
        </w:rPr>
        <w:t xml:space="preserve">-month </w:t>
      </w:r>
      <w:r w:rsidRPr="00465309">
        <w:rPr>
          <w:rFonts w:cs="Times New Roman"/>
          <w:color w:val="000000"/>
          <w:spacing w:val="-2"/>
          <w:szCs w:val="24"/>
        </w:rPr>
        <w:t>period ended</w:t>
      </w:r>
      <w:r w:rsidR="00241314">
        <w:rPr>
          <w:rFonts w:cs="Times New Roman"/>
          <w:color w:val="000000"/>
          <w:spacing w:val="-2"/>
          <w:szCs w:val="24"/>
        </w:rPr>
        <w:t xml:space="preserve"> June 30, 2025</w:t>
      </w:r>
      <w:r w:rsidR="0064464F">
        <w:rPr>
          <w:rFonts w:cs="Times New Roman"/>
          <w:color w:val="000000"/>
          <w:spacing w:val="-2"/>
          <w:szCs w:val="24"/>
        </w:rPr>
        <w:t>,</w:t>
      </w:r>
      <w:r w:rsidRPr="00465309">
        <w:rPr>
          <w:rFonts w:cs="Times New Roman"/>
          <w:color w:val="000000"/>
          <w:spacing w:val="-2"/>
          <w:szCs w:val="24"/>
        </w:rPr>
        <w:t xml:space="preserve"> and the condensed notes to the financial statements. The Company’s management is responsible for the preparation and presentation of this interim financial information in accordance with </w:t>
      </w:r>
      <w:r w:rsidR="001759C6">
        <w:rPr>
          <w:rFonts w:cs="Times New Roman"/>
          <w:color w:val="000000"/>
          <w:spacing w:val="-2"/>
          <w:szCs w:val="24"/>
        </w:rPr>
        <w:t xml:space="preserve">Thai Accounting Standard No. </w:t>
      </w:r>
      <w:r w:rsidR="009515FF" w:rsidRPr="009515FF">
        <w:rPr>
          <w:color w:val="000000"/>
          <w:spacing w:val="-2"/>
          <w:szCs w:val="24"/>
        </w:rPr>
        <w:t>34</w:t>
      </w:r>
      <w:r w:rsidRPr="00465309">
        <w:rPr>
          <w:rFonts w:cs="Times New Roman"/>
          <w:color w:val="000000"/>
          <w:spacing w:val="-2"/>
          <w:szCs w:val="24"/>
        </w:rPr>
        <w:t xml:space="preserve"> “Interim Financial Reporting”. Our responsibility is to express a conclusion on this interim financial information based on our review.</w:t>
      </w:r>
    </w:p>
    <w:p w14:paraId="439AEBA4" w14:textId="77777777" w:rsidR="00961603" w:rsidRPr="004700FD" w:rsidRDefault="00961603" w:rsidP="004700FD">
      <w:pPr>
        <w:autoSpaceDE w:val="0"/>
        <w:autoSpaceDN w:val="0"/>
        <w:adjustRightInd w:val="0"/>
        <w:jc w:val="thaiDistribute"/>
        <w:rPr>
          <w:rFonts w:cs="Times New Roman"/>
          <w:szCs w:val="24"/>
        </w:rPr>
      </w:pPr>
    </w:p>
    <w:p w14:paraId="294ED7E2" w14:textId="77777777" w:rsidR="00746E5A" w:rsidRPr="00494AD6" w:rsidRDefault="00364D97" w:rsidP="00746E5A">
      <w:pPr>
        <w:autoSpaceDE w:val="0"/>
        <w:autoSpaceDN w:val="0"/>
        <w:adjustRightInd w:val="0"/>
        <w:jc w:val="thaiDistribute"/>
        <w:rPr>
          <w:rFonts w:cs="Times New Roman"/>
          <w:b/>
          <w:bCs/>
          <w:szCs w:val="24"/>
        </w:rPr>
      </w:pPr>
      <w:r w:rsidRPr="00494AD6">
        <w:rPr>
          <w:rFonts w:cs="Times New Roman"/>
          <w:b/>
          <w:bCs/>
          <w:szCs w:val="24"/>
        </w:rPr>
        <w:t>Scope of Review</w:t>
      </w:r>
    </w:p>
    <w:p w14:paraId="50BCC2C1" w14:textId="77777777" w:rsidR="003F4E52" w:rsidRDefault="003F4E52" w:rsidP="003F4E52">
      <w:pPr>
        <w:jc w:val="both"/>
        <w:rPr>
          <w:rFonts w:eastAsia="SimSun" w:cs="Times New Roman"/>
          <w:szCs w:val="24"/>
          <w:lang w:eastAsia="ja-JP"/>
        </w:rPr>
      </w:pPr>
    </w:p>
    <w:p w14:paraId="74885527" w14:textId="31B03CFB" w:rsidR="006468D9" w:rsidRPr="00494AD6" w:rsidRDefault="006468D9" w:rsidP="006468D9">
      <w:pPr>
        <w:autoSpaceDE w:val="0"/>
        <w:autoSpaceDN w:val="0"/>
        <w:adjustRightInd w:val="0"/>
        <w:jc w:val="both"/>
        <w:rPr>
          <w:rFonts w:cs="Times New Roman"/>
          <w:szCs w:val="24"/>
        </w:rPr>
      </w:pPr>
      <w:r w:rsidRPr="00465309">
        <w:rPr>
          <w:rFonts w:cs="Times New Roman"/>
          <w:spacing w:val="-2"/>
          <w:szCs w:val="24"/>
        </w:rPr>
        <w:t xml:space="preserve">We conducted our review in accordance with Thai Standard on Review Engagements </w:t>
      </w:r>
      <w:r w:rsidR="009515FF" w:rsidRPr="009515FF">
        <w:rPr>
          <w:spacing w:val="-2"/>
          <w:szCs w:val="24"/>
        </w:rPr>
        <w:t>2410</w:t>
      </w:r>
      <w:r w:rsidRPr="00494AD6">
        <w:rPr>
          <w:rFonts w:cs="Times New Roman"/>
          <w:szCs w:val="24"/>
        </w:rPr>
        <w:t xml:space="preserve"> </w:t>
      </w:r>
      <w:r w:rsidRPr="00465309">
        <w:rPr>
          <w:rFonts w:cs="Times New Roman"/>
          <w:szCs w:val="24"/>
        </w:rPr>
        <w:t>“Review of Interim Financial Information Performed by the Independent Auditor of the Entity”</w:t>
      </w:r>
      <w:r w:rsidRPr="00465309">
        <w:rPr>
          <w:rFonts w:cs="Times New Roman"/>
          <w:i/>
          <w:iCs/>
          <w:szCs w:val="24"/>
        </w:rPr>
        <w:t>.</w:t>
      </w:r>
      <w:r w:rsidRPr="00465309">
        <w:rPr>
          <w:rFonts w:cs="Times New Roman"/>
          <w:szCs w:val="24"/>
        </w:rPr>
        <w:t xml:space="preserve">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us to obtain assurance that we would become aware of all significant matters that might be identified in an audit. Accordingly, we do not express an audit opinion.</w:t>
      </w:r>
    </w:p>
    <w:p w14:paraId="2D37C0B7" w14:textId="77777777" w:rsidR="00961603" w:rsidRPr="004700FD" w:rsidRDefault="00961603" w:rsidP="00961603">
      <w:pPr>
        <w:autoSpaceDE w:val="0"/>
        <w:autoSpaceDN w:val="0"/>
        <w:adjustRightInd w:val="0"/>
        <w:jc w:val="thaiDistribute"/>
        <w:rPr>
          <w:rFonts w:cs="Times New Roman"/>
          <w:szCs w:val="24"/>
        </w:rPr>
      </w:pPr>
    </w:p>
    <w:p w14:paraId="4EE8F695" w14:textId="77777777" w:rsidR="00961603" w:rsidRPr="00494AD6" w:rsidRDefault="00961603" w:rsidP="00961603">
      <w:pPr>
        <w:autoSpaceDE w:val="0"/>
        <w:autoSpaceDN w:val="0"/>
        <w:adjustRightInd w:val="0"/>
        <w:jc w:val="thaiDistribute"/>
        <w:rPr>
          <w:rFonts w:cs="Times New Roman"/>
          <w:b/>
          <w:bCs/>
          <w:szCs w:val="24"/>
        </w:rPr>
      </w:pPr>
      <w:r w:rsidRPr="00494AD6">
        <w:rPr>
          <w:rFonts w:cs="Times New Roman"/>
          <w:b/>
          <w:bCs/>
          <w:szCs w:val="24"/>
        </w:rPr>
        <w:t>Conclusion</w:t>
      </w:r>
    </w:p>
    <w:p w14:paraId="5A48A49E" w14:textId="77777777" w:rsidR="00961603" w:rsidRDefault="00961603" w:rsidP="00961603">
      <w:pPr>
        <w:jc w:val="both"/>
        <w:rPr>
          <w:rFonts w:eastAsia="SimSun" w:cs="Times New Roman"/>
          <w:szCs w:val="24"/>
          <w:lang w:eastAsia="ja-JP"/>
        </w:rPr>
      </w:pPr>
    </w:p>
    <w:p w14:paraId="2FE03038" w14:textId="77777777" w:rsidR="00961603" w:rsidRDefault="00961603" w:rsidP="00961603">
      <w:pPr>
        <w:autoSpaceDE w:val="0"/>
        <w:autoSpaceDN w:val="0"/>
        <w:adjustRightInd w:val="0"/>
        <w:jc w:val="thaiDistribute"/>
        <w:rPr>
          <w:rFonts w:eastAsia="SimSun" w:cs="Times New Roman"/>
          <w:szCs w:val="24"/>
          <w:lang w:eastAsia="ja-JP"/>
        </w:rPr>
      </w:pPr>
      <w:r w:rsidRPr="00465309">
        <w:rPr>
          <w:rFonts w:cs="Times New Roman"/>
          <w:szCs w:val="24"/>
        </w:rPr>
        <w:t xml:space="preserve">Based on our review, nothing has come to our attention that causes us to believe that the </w:t>
      </w:r>
      <w:proofErr w:type="gramStart"/>
      <w:r w:rsidRPr="00465309">
        <w:rPr>
          <w:rFonts w:cs="Times New Roman"/>
          <w:szCs w:val="24"/>
        </w:rPr>
        <w:t>aforementioned interim</w:t>
      </w:r>
      <w:proofErr w:type="gramEnd"/>
      <w:r w:rsidRPr="00465309">
        <w:rPr>
          <w:rFonts w:cs="Times New Roman"/>
          <w:szCs w:val="24"/>
        </w:rPr>
        <w:t xml:space="preserve"> financial information is not prepared, in all material respects</w:t>
      </w:r>
      <w:r w:rsidRPr="00465309">
        <w:rPr>
          <w:rFonts w:eastAsia="SimSun" w:cs="Times New Roman"/>
          <w:szCs w:val="24"/>
          <w:lang w:eastAsia="ja-JP"/>
        </w:rPr>
        <w:t xml:space="preserve">, in accordance with Thai Accounting Standard No. </w:t>
      </w:r>
      <w:r w:rsidRPr="009515FF">
        <w:rPr>
          <w:rFonts w:eastAsia="SimSun"/>
          <w:szCs w:val="24"/>
          <w:lang w:eastAsia="ja-JP"/>
        </w:rPr>
        <w:t>34</w:t>
      </w:r>
      <w:r w:rsidRPr="00465309">
        <w:rPr>
          <w:rFonts w:eastAsia="SimSun" w:cs="Times New Roman"/>
          <w:szCs w:val="24"/>
          <w:lang w:eastAsia="ja-JP"/>
        </w:rPr>
        <w:t xml:space="preserve"> “Interim Financial Reporting”.</w:t>
      </w:r>
    </w:p>
    <w:p w14:paraId="5F4BA5D1" w14:textId="59CB7500" w:rsidR="00111F47" w:rsidRPr="00B2041F" w:rsidRDefault="00111F47" w:rsidP="00B2041F">
      <w:pPr>
        <w:jc w:val="both"/>
        <w:rPr>
          <w:rFonts w:eastAsia="SimSun" w:cs="Times New Roman"/>
          <w:szCs w:val="24"/>
          <w:lang w:eastAsia="ja-JP"/>
        </w:rPr>
      </w:pPr>
    </w:p>
    <w:p w14:paraId="116754AB" w14:textId="77777777" w:rsidR="008A46AD" w:rsidRDefault="008A46AD" w:rsidP="004700FD">
      <w:pPr>
        <w:jc w:val="both"/>
        <w:rPr>
          <w:rFonts w:eastAsia="SimSun"/>
          <w:szCs w:val="24"/>
          <w:cs/>
          <w:lang w:eastAsia="ja-JP"/>
        </w:rPr>
        <w:sectPr w:rsidR="008A46AD" w:rsidSect="00534DBF">
          <w:pgSz w:w="11909" w:h="16834" w:code="9"/>
          <w:pgMar w:top="2880" w:right="1224" w:bottom="1152" w:left="1872" w:header="720" w:footer="720" w:gutter="0"/>
          <w:pgNumType w:start="2"/>
          <w:cols w:space="720"/>
        </w:sectPr>
      </w:pPr>
    </w:p>
    <w:p w14:paraId="1AF6DC1D" w14:textId="1B631642" w:rsidR="00686E6B" w:rsidRDefault="00686E6B" w:rsidP="008A46AD">
      <w:pPr>
        <w:autoSpaceDE w:val="0"/>
        <w:autoSpaceDN w:val="0"/>
        <w:adjustRightInd w:val="0"/>
        <w:ind w:left="432"/>
        <w:jc w:val="thaiDistribute"/>
        <w:rPr>
          <w:rFonts w:cs="Cordia New"/>
          <w:b/>
          <w:bCs/>
          <w:color w:val="000000"/>
          <w:szCs w:val="24"/>
        </w:rPr>
      </w:pPr>
      <w:r>
        <w:rPr>
          <w:rFonts w:cs="Times New Roman"/>
          <w:b/>
          <w:bCs/>
          <w:color w:val="000000"/>
          <w:szCs w:val="24"/>
        </w:rPr>
        <w:lastRenderedPageBreak/>
        <w:t>Emphasis of Matters</w:t>
      </w:r>
    </w:p>
    <w:p w14:paraId="5474A84D" w14:textId="61888AD2" w:rsidR="00961603" w:rsidRDefault="00961603" w:rsidP="008A46AD">
      <w:pPr>
        <w:ind w:left="432"/>
        <w:jc w:val="both"/>
        <w:rPr>
          <w:rFonts w:eastAsia="SimSun" w:cs="Times New Roman"/>
          <w:szCs w:val="24"/>
          <w:lang w:eastAsia="ja-JP"/>
        </w:rPr>
      </w:pPr>
    </w:p>
    <w:p w14:paraId="4E427D1E" w14:textId="0A8FDCB8" w:rsidR="009439DC" w:rsidRPr="00460B89" w:rsidRDefault="00B14BC5" w:rsidP="00460B89">
      <w:pPr>
        <w:spacing w:after="1440"/>
        <w:ind w:left="432"/>
        <w:jc w:val="both"/>
        <w:rPr>
          <w:szCs w:val="30"/>
        </w:rPr>
      </w:pPr>
      <w:r w:rsidRPr="00BB6EEE">
        <w:rPr>
          <w:rFonts w:cs="Times New Roman"/>
          <w:szCs w:val="24"/>
        </w:rPr>
        <w:t xml:space="preserve">We draw attention to Note 1 to the financial statements, as at </w:t>
      </w:r>
      <w:r w:rsidR="000709A4">
        <w:rPr>
          <w:rFonts w:cs="Times New Roman"/>
          <w:szCs w:val="24"/>
        </w:rPr>
        <w:t>June 30</w:t>
      </w:r>
      <w:r>
        <w:rPr>
          <w:rFonts w:cs="Times New Roman"/>
          <w:szCs w:val="24"/>
        </w:rPr>
        <w:t>, 2025</w:t>
      </w:r>
      <w:r w:rsidRPr="00BB6EEE">
        <w:rPr>
          <w:rFonts w:cs="Times New Roman"/>
          <w:szCs w:val="24"/>
        </w:rPr>
        <w:t>, the Group</w:t>
      </w:r>
      <w:r>
        <w:rPr>
          <w:szCs w:val="24"/>
          <w:cs/>
        </w:rPr>
        <w:t xml:space="preserve"> </w:t>
      </w:r>
      <w:r>
        <w:rPr>
          <w:szCs w:val="24"/>
        </w:rPr>
        <w:t>and the Company</w:t>
      </w:r>
      <w:r w:rsidRPr="00BB6EEE">
        <w:rPr>
          <w:rFonts w:cs="Times New Roman"/>
          <w:szCs w:val="24"/>
        </w:rPr>
        <w:t xml:space="preserve"> </w:t>
      </w:r>
      <w:r>
        <w:rPr>
          <w:rFonts w:cs="Times New Roman"/>
          <w:szCs w:val="24"/>
        </w:rPr>
        <w:t xml:space="preserve">reported </w:t>
      </w:r>
      <w:r w:rsidRPr="00BB6EEE">
        <w:rPr>
          <w:rFonts w:cs="Times New Roman"/>
          <w:szCs w:val="24"/>
        </w:rPr>
        <w:t xml:space="preserve">retained </w:t>
      </w:r>
      <w:r w:rsidRPr="00720BC5">
        <w:rPr>
          <w:rFonts w:cs="Times New Roman"/>
          <w:szCs w:val="24"/>
        </w:rPr>
        <w:t xml:space="preserve">deficits </w:t>
      </w:r>
      <w:r w:rsidR="00720BC5" w:rsidRPr="00720BC5">
        <w:rPr>
          <w:szCs w:val="30"/>
        </w:rPr>
        <w:t>in the consolidated statement of financial position and the separate statement of financial position</w:t>
      </w:r>
      <w:r w:rsidR="00720BC5" w:rsidRPr="00720BC5">
        <w:rPr>
          <w:szCs w:val="30"/>
          <w:cs/>
        </w:rPr>
        <w:t xml:space="preserve"> </w:t>
      </w:r>
      <w:r w:rsidRPr="00720BC5">
        <w:rPr>
          <w:rFonts w:cs="Times New Roman"/>
          <w:szCs w:val="24"/>
        </w:rPr>
        <w:t xml:space="preserve">of Baht </w:t>
      </w:r>
      <w:r w:rsidR="00811DF6" w:rsidRPr="00720BC5">
        <w:rPr>
          <w:rFonts w:cs="Times New Roman"/>
          <w:szCs w:val="24"/>
        </w:rPr>
        <w:t>1,</w:t>
      </w:r>
      <w:r w:rsidR="00262836">
        <w:rPr>
          <w:rFonts w:cs="Times New Roman"/>
          <w:szCs w:val="24"/>
        </w:rPr>
        <w:t>959</w:t>
      </w:r>
      <w:r w:rsidR="00811DF6" w:rsidRPr="00720BC5">
        <w:rPr>
          <w:rFonts w:cs="Times New Roman"/>
          <w:szCs w:val="24"/>
        </w:rPr>
        <w:t>.</w:t>
      </w:r>
      <w:r w:rsidR="00262836">
        <w:rPr>
          <w:rFonts w:cs="Times New Roman"/>
          <w:szCs w:val="24"/>
        </w:rPr>
        <w:t>81</w:t>
      </w:r>
      <w:r w:rsidR="00811DF6" w:rsidRPr="00720BC5">
        <w:rPr>
          <w:rFonts w:cs="Times New Roman"/>
          <w:szCs w:val="24"/>
        </w:rPr>
        <w:t xml:space="preserve"> </w:t>
      </w:r>
      <w:r w:rsidRPr="00720BC5">
        <w:rPr>
          <w:rFonts w:cs="Times New Roman"/>
          <w:szCs w:val="24"/>
        </w:rPr>
        <w:t xml:space="preserve">million and Baht </w:t>
      </w:r>
      <w:r w:rsidR="00145C9C" w:rsidRPr="00720BC5">
        <w:rPr>
          <w:rFonts w:cs="Times New Roman"/>
          <w:szCs w:val="24"/>
        </w:rPr>
        <w:t>2,3</w:t>
      </w:r>
      <w:r w:rsidR="00262836">
        <w:rPr>
          <w:rFonts w:cs="Times New Roman"/>
          <w:szCs w:val="24"/>
        </w:rPr>
        <w:t>73</w:t>
      </w:r>
      <w:r w:rsidR="00145C9C" w:rsidRPr="00720BC5">
        <w:rPr>
          <w:rFonts w:cs="Times New Roman"/>
          <w:szCs w:val="24"/>
        </w:rPr>
        <w:t>.</w:t>
      </w:r>
      <w:r w:rsidR="00262836">
        <w:rPr>
          <w:rFonts w:cs="Times New Roman"/>
          <w:szCs w:val="24"/>
        </w:rPr>
        <w:t>35</w:t>
      </w:r>
      <w:r w:rsidRPr="00720BC5">
        <w:rPr>
          <w:rFonts w:cs="Times New Roman"/>
          <w:szCs w:val="24"/>
        </w:rPr>
        <w:t xml:space="preserve"> million, respectively, and the Group and the </w:t>
      </w:r>
      <w:r w:rsidR="00EF6FCB">
        <w:rPr>
          <w:rFonts w:cstheme="minorBidi" w:hint="cs"/>
          <w:szCs w:val="24"/>
          <w:cs/>
        </w:rPr>
        <w:t xml:space="preserve"> </w:t>
      </w:r>
      <w:r w:rsidRPr="00720BC5">
        <w:rPr>
          <w:rFonts w:cs="Times New Roman"/>
          <w:szCs w:val="24"/>
        </w:rPr>
        <w:t>Company</w:t>
      </w:r>
      <w:r>
        <w:rPr>
          <w:rFonts w:cs="Times New Roman"/>
          <w:szCs w:val="24"/>
        </w:rPr>
        <w:t xml:space="preserve"> incurred </w:t>
      </w:r>
      <w:r w:rsidRPr="00BB6EEE">
        <w:rPr>
          <w:rFonts w:cs="Times New Roman"/>
          <w:szCs w:val="24"/>
        </w:rPr>
        <w:t>total comprehensive loss</w:t>
      </w:r>
      <w:r>
        <w:rPr>
          <w:rFonts w:cs="Times New Roman"/>
          <w:szCs w:val="24"/>
        </w:rPr>
        <w:t>es</w:t>
      </w:r>
      <w:r w:rsidRPr="00BB6EEE">
        <w:rPr>
          <w:rFonts w:cs="Times New Roman"/>
          <w:szCs w:val="24"/>
        </w:rPr>
        <w:t xml:space="preserve"> for the </w:t>
      </w:r>
      <w:r w:rsidR="005C3715">
        <w:rPr>
          <w:rFonts w:cs="Times New Roman"/>
          <w:szCs w:val="24"/>
        </w:rPr>
        <w:t xml:space="preserve">six-month </w:t>
      </w:r>
      <w:r w:rsidR="003A37F8">
        <w:rPr>
          <w:rFonts w:cs="Times New Roman"/>
          <w:szCs w:val="24"/>
        </w:rPr>
        <w:t xml:space="preserve">period </w:t>
      </w:r>
      <w:r w:rsidRPr="00BB6EEE">
        <w:rPr>
          <w:rFonts w:cs="Times New Roman"/>
          <w:szCs w:val="24"/>
        </w:rPr>
        <w:t xml:space="preserve">ended </w:t>
      </w:r>
      <w:r w:rsidR="005C3715">
        <w:rPr>
          <w:rFonts w:cs="Times New Roman"/>
          <w:szCs w:val="24"/>
        </w:rPr>
        <w:t>June 30</w:t>
      </w:r>
      <w:r w:rsidR="00145C9C">
        <w:rPr>
          <w:rFonts w:cs="Times New Roman"/>
          <w:szCs w:val="24"/>
        </w:rPr>
        <w:t>, 2025</w:t>
      </w:r>
      <w:r w:rsidRPr="00BB6EEE">
        <w:rPr>
          <w:rFonts w:cs="Times New Roman"/>
          <w:szCs w:val="24"/>
        </w:rPr>
        <w:t xml:space="preserve">, of Baht </w:t>
      </w:r>
      <w:r w:rsidR="00B85247">
        <w:rPr>
          <w:rFonts w:cs="Times New Roman"/>
          <w:szCs w:val="24"/>
        </w:rPr>
        <w:t>196.87</w:t>
      </w:r>
      <w:r w:rsidR="007352D7" w:rsidRPr="007352D7">
        <w:rPr>
          <w:rFonts w:cs="Times New Roman"/>
          <w:szCs w:val="24"/>
        </w:rPr>
        <w:t xml:space="preserve"> </w:t>
      </w:r>
      <w:r w:rsidRPr="00BB6EEE">
        <w:rPr>
          <w:rFonts w:cs="Times New Roman"/>
          <w:szCs w:val="24"/>
        </w:rPr>
        <w:t xml:space="preserve">million and Baht </w:t>
      </w:r>
      <w:r w:rsidR="00B85247">
        <w:rPr>
          <w:rFonts w:cs="Times New Roman"/>
          <w:szCs w:val="24"/>
        </w:rPr>
        <w:t>149.67</w:t>
      </w:r>
      <w:r w:rsidR="008B01CA" w:rsidRPr="008B01CA">
        <w:rPr>
          <w:rFonts w:cs="Times New Roman"/>
          <w:szCs w:val="24"/>
        </w:rPr>
        <w:t xml:space="preserve"> </w:t>
      </w:r>
      <w:r w:rsidRPr="00BB6EEE">
        <w:rPr>
          <w:rFonts w:cs="Times New Roman"/>
          <w:szCs w:val="24"/>
        </w:rPr>
        <w:t>million, respectively.</w:t>
      </w:r>
      <w:r>
        <w:rPr>
          <w:rFonts w:cs="Times New Roman"/>
          <w:szCs w:val="24"/>
        </w:rPr>
        <w:t xml:space="preserve"> In addition, </w:t>
      </w:r>
      <w:r w:rsidRPr="00BB6EEE">
        <w:rPr>
          <w:rFonts w:cs="Times New Roman"/>
          <w:szCs w:val="24"/>
        </w:rPr>
        <w:t xml:space="preserve">the Group and the Company had total current liabilities of Baht </w:t>
      </w:r>
      <w:r w:rsidR="00DE473E">
        <w:rPr>
          <w:rFonts w:cs="Times New Roman"/>
          <w:szCs w:val="24"/>
        </w:rPr>
        <w:t>3,</w:t>
      </w:r>
      <w:r w:rsidR="006A1431">
        <w:rPr>
          <w:rFonts w:cs="Times New Roman"/>
          <w:szCs w:val="24"/>
        </w:rPr>
        <w:t>163</w:t>
      </w:r>
      <w:r w:rsidR="00DE473E">
        <w:rPr>
          <w:rFonts w:cs="Times New Roman"/>
          <w:szCs w:val="24"/>
        </w:rPr>
        <w:t>.</w:t>
      </w:r>
      <w:r w:rsidR="006A1431">
        <w:rPr>
          <w:rFonts w:cs="Times New Roman"/>
          <w:szCs w:val="24"/>
        </w:rPr>
        <w:t>04</w:t>
      </w:r>
      <w:r w:rsidRPr="00BB6EEE">
        <w:rPr>
          <w:rFonts w:cs="Times New Roman"/>
          <w:szCs w:val="24"/>
        </w:rPr>
        <w:t xml:space="preserve"> million and Baht </w:t>
      </w:r>
      <w:r w:rsidR="00DE473E">
        <w:rPr>
          <w:rFonts w:cs="Times New Roman"/>
          <w:szCs w:val="24"/>
        </w:rPr>
        <w:t>3,</w:t>
      </w:r>
      <w:r w:rsidR="00606330">
        <w:rPr>
          <w:rFonts w:cs="Times New Roman"/>
          <w:szCs w:val="24"/>
        </w:rPr>
        <w:t>745</w:t>
      </w:r>
      <w:r w:rsidR="00DE473E">
        <w:rPr>
          <w:rFonts w:cs="Times New Roman"/>
          <w:szCs w:val="24"/>
        </w:rPr>
        <w:t>.</w:t>
      </w:r>
      <w:r w:rsidR="00606330">
        <w:rPr>
          <w:rFonts w:cs="Times New Roman"/>
          <w:szCs w:val="24"/>
        </w:rPr>
        <w:t>51</w:t>
      </w:r>
      <w:r w:rsidRPr="00BB6EEE">
        <w:rPr>
          <w:rFonts w:cs="Times New Roman"/>
          <w:szCs w:val="24"/>
        </w:rPr>
        <w:t xml:space="preserve"> million, respectively</w:t>
      </w:r>
      <w:r>
        <w:rPr>
          <w:rFonts w:cs="Times New Roman"/>
          <w:szCs w:val="24"/>
        </w:rPr>
        <w:t xml:space="preserve">. </w:t>
      </w:r>
      <w:proofErr w:type="gramStart"/>
      <w:r>
        <w:rPr>
          <w:rFonts w:cs="Times New Roman"/>
          <w:szCs w:val="24"/>
        </w:rPr>
        <w:t xml:space="preserve">The majority </w:t>
      </w:r>
      <w:r w:rsidRPr="00BB6EEE">
        <w:rPr>
          <w:rFonts w:cs="Times New Roman"/>
          <w:szCs w:val="24"/>
        </w:rPr>
        <w:t>of</w:t>
      </w:r>
      <w:proofErr w:type="gramEnd"/>
      <w:r w:rsidRPr="00BB6EEE">
        <w:rPr>
          <w:rFonts w:cs="Times New Roman"/>
          <w:szCs w:val="24"/>
        </w:rPr>
        <w:t xml:space="preserve"> </w:t>
      </w:r>
      <w:r>
        <w:rPr>
          <w:rFonts w:cs="Times New Roman"/>
          <w:szCs w:val="24"/>
        </w:rPr>
        <w:t xml:space="preserve">these </w:t>
      </w:r>
      <w:r w:rsidRPr="00BB6EEE">
        <w:rPr>
          <w:rFonts w:cs="Times New Roman"/>
          <w:szCs w:val="24"/>
        </w:rPr>
        <w:t>current liabilities</w:t>
      </w:r>
      <w:r>
        <w:rPr>
          <w:rFonts w:cs="Times New Roman"/>
          <w:szCs w:val="24"/>
        </w:rPr>
        <w:t xml:space="preserve"> comprise the </w:t>
      </w:r>
      <w:r w:rsidRPr="00BB6EEE">
        <w:rPr>
          <w:rFonts w:cs="Times New Roman"/>
          <w:szCs w:val="24"/>
        </w:rPr>
        <w:t xml:space="preserve">current portion of long-term borrowings, short-term borrowings from related parties, and other short-term borrowings. The Group’s management has assessed ability to continue as a going concern by </w:t>
      </w:r>
      <w:r>
        <w:rPr>
          <w:rFonts w:cs="Times New Roman"/>
          <w:szCs w:val="24"/>
        </w:rPr>
        <w:t>evaluating</w:t>
      </w:r>
      <w:r w:rsidRPr="00BB6EEE">
        <w:rPr>
          <w:rFonts w:cs="Times New Roman"/>
          <w:szCs w:val="24"/>
        </w:rPr>
        <w:t xml:space="preserve"> the cash flow</w:t>
      </w:r>
      <w:r>
        <w:rPr>
          <w:rFonts w:cs="Times New Roman"/>
          <w:szCs w:val="24"/>
        </w:rPr>
        <w:t>s</w:t>
      </w:r>
      <w:r w:rsidRPr="00BB6EEE">
        <w:rPr>
          <w:rFonts w:cs="Times New Roman"/>
          <w:szCs w:val="24"/>
        </w:rPr>
        <w:t xml:space="preserve"> projection, including real estate sales plan</w:t>
      </w:r>
      <w:r>
        <w:rPr>
          <w:rFonts w:cs="Times New Roman"/>
          <w:szCs w:val="24"/>
        </w:rPr>
        <w:t>s</w:t>
      </w:r>
      <w:r w:rsidRPr="00BB6EEE">
        <w:rPr>
          <w:rFonts w:cs="Times New Roman"/>
          <w:szCs w:val="24"/>
        </w:rPr>
        <w:t xml:space="preserve"> of</w:t>
      </w:r>
      <w:r>
        <w:rPr>
          <w:rFonts w:cs="Times New Roman"/>
          <w:szCs w:val="24"/>
        </w:rPr>
        <w:t xml:space="preserve"> both</w:t>
      </w:r>
      <w:r w:rsidRPr="00BB6EEE">
        <w:rPr>
          <w:rFonts w:cs="Times New Roman"/>
          <w:szCs w:val="24"/>
        </w:rPr>
        <w:t xml:space="preserve"> the Group and the Company. The </w:t>
      </w:r>
      <w:r w:rsidR="000277D8">
        <w:rPr>
          <w:szCs w:val="30"/>
        </w:rPr>
        <w:t>Group</w:t>
      </w:r>
      <w:r w:rsidR="009E49DB">
        <w:rPr>
          <w:szCs w:val="30"/>
        </w:rPr>
        <w:t>’s</w:t>
      </w:r>
      <w:r w:rsidR="000277D8">
        <w:rPr>
          <w:szCs w:val="30"/>
        </w:rPr>
        <w:t xml:space="preserve"> and the </w:t>
      </w:r>
      <w:r w:rsidRPr="00BB6EEE">
        <w:rPr>
          <w:rFonts w:cs="Times New Roman"/>
          <w:szCs w:val="24"/>
        </w:rPr>
        <w:t>Company’s management</w:t>
      </w:r>
      <w:r>
        <w:rPr>
          <w:rFonts w:cs="Times New Roman"/>
          <w:szCs w:val="24"/>
        </w:rPr>
        <w:t xml:space="preserve"> has determined </w:t>
      </w:r>
      <w:r w:rsidRPr="00BB6EEE">
        <w:rPr>
          <w:rFonts w:cs="Times New Roman"/>
          <w:szCs w:val="24"/>
        </w:rPr>
        <w:t xml:space="preserve">that the preparation of the financial statements using the going concern basis is still appropriate. The </w:t>
      </w:r>
      <w:r w:rsidR="00871080">
        <w:rPr>
          <w:rFonts w:cs="Times New Roman"/>
          <w:szCs w:val="24"/>
        </w:rPr>
        <w:t>Company</w:t>
      </w:r>
      <w:r w:rsidR="0048622F">
        <w:rPr>
          <w:rFonts w:cs="Times New Roman"/>
          <w:szCs w:val="24"/>
        </w:rPr>
        <w:t xml:space="preserve"> </w:t>
      </w:r>
      <w:r w:rsidR="00BF0B90">
        <w:rPr>
          <w:szCs w:val="30"/>
        </w:rPr>
        <w:t>is in negotiations with the financial institutions</w:t>
      </w:r>
      <w:r w:rsidRPr="00BB6EEE">
        <w:rPr>
          <w:rFonts w:cs="Times New Roman"/>
          <w:szCs w:val="24"/>
        </w:rPr>
        <w:t xml:space="preserve"> </w:t>
      </w:r>
      <w:r w:rsidR="00BF0B90">
        <w:rPr>
          <w:rFonts w:cs="Times New Roman"/>
          <w:szCs w:val="24"/>
        </w:rPr>
        <w:t xml:space="preserve">to </w:t>
      </w:r>
      <w:r w:rsidRPr="00BB6EEE">
        <w:rPr>
          <w:rFonts w:cs="Times New Roman"/>
          <w:szCs w:val="24"/>
          <w:lang w:val="en-GB"/>
        </w:rPr>
        <w:t xml:space="preserve">request </w:t>
      </w:r>
      <w:r w:rsidR="00BF0B90">
        <w:rPr>
          <w:rFonts w:cs="Times New Roman"/>
          <w:szCs w:val="24"/>
          <w:lang w:val="en-GB"/>
        </w:rPr>
        <w:t>relaxation of</w:t>
      </w:r>
      <w:r w:rsidRPr="00BB6EEE">
        <w:rPr>
          <w:rFonts w:cs="Times New Roman"/>
          <w:szCs w:val="24"/>
          <w:lang w:val="en-GB"/>
        </w:rPr>
        <w:t xml:space="preserve"> the minimum quarterly repayment terms of long-term borrowings</w:t>
      </w:r>
      <w:r w:rsidR="00BF0B90">
        <w:rPr>
          <w:rFonts w:cs="Times New Roman"/>
          <w:szCs w:val="24"/>
          <w:lang w:val="en-GB"/>
        </w:rPr>
        <w:t>.</w:t>
      </w:r>
      <w:r w:rsidR="00871080">
        <w:rPr>
          <w:rFonts w:cstheme="minorBidi" w:hint="cs"/>
          <w:szCs w:val="24"/>
          <w:cs/>
          <w:lang w:val="en-GB"/>
        </w:rPr>
        <w:t xml:space="preserve"> </w:t>
      </w:r>
      <w:r w:rsidR="00BF0B90">
        <w:rPr>
          <w:rFonts w:cs="Times New Roman"/>
          <w:szCs w:val="24"/>
        </w:rPr>
        <w:t xml:space="preserve">In addition, </w:t>
      </w:r>
      <w:r w:rsidRPr="00BB6EEE">
        <w:rPr>
          <w:rFonts w:cs="Times New Roman"/>
          <w:szCs w:val="24"/>
        </w:rPr>
        <w:t xml:space="preserve">the Company </w:t>
      </w:r>
      <w:r>
        <w:rPr>
          <w:rFonts w:cs="Times New Roman"/>
          <w:szCs w:val="24"/>
        </w:rPr>
        <w:t xml:space="preserve">is in </w:t>
      </w:r>
      <w:r w:rsidRPr="00BB6EEE">
        <w:rPr>
          <w:rFonts w:cs="Times New Roman"/>
          <w:szCs w:val="24"/>
        </w:rPr>
        <w:t>negotiat</w:t>
      </w:r>
      <w:r>
        <w:rPr>
          <w:rFonts w:cs="Times New Roman"/>
          <w:szCs w:val="24"/>
        </w:rPr>
        <w:t>ion</w:t>
      </w:r>
      <w:r w:rsidR="00BF0B90">
        <w:rPr>
          <w:rFonts w:cs="Times New Roman"/>
          <w:szCs w:val="24"/>
        </w:rPr>
        <w:t>s</w:t>
      </w:r>
      <w:r>
        <w:rPr>
          <w:rFonts w:cs="Times New Roman"/>
          <w:szCs w:val="24"/>
        </w:rPr>
        <w:t xml:space="preserve"> </w:t>
      </w:r>
      <w:r w:rsidRPr="00BB6EEE">
        <w:rPr>
          <w:rFonts w:cs="Times New Roman"/>
          <w:szCs w:val="24"/>
        </w:rPr>
        <w:t xml:space="preserve">with lenders </w:t>
      </w:r>
      <w:r>
        <w:rPr>
          <w:rFonts w:cs="Times New Roman"/>
          <w:szCs w:val="24"/>
        </w:rPr>
        <w:t xml:space="preserve">to extend the repayment terms of </w:t>
      </w:r>
      <w:r w:rsidRPr="00BB6EEE">
        <w:rPr>
          <w:rFonts w:cs="Times New Roman"/>
          <w:szCs w:val="24"/>
        </w:rPr>
        <w:t xml:space="preserve">other short-term borrowings </w:t>
      </w:r>
      <w:r w:rsidR="00704011">
        <w:rPr>
          <w:szCs w:val="30"/>
        </w:rPr>
        <w:t>and</w:t>
      </w:r>
      <w:r w:rsidR="00460B89">
        <w:rPr>
          <w:szCs w:val="30"/>
        </w:rPr>
        <w:t xml:space="preserve"> current portion of long-term borrowings that </w:t>
      </w:r>
      <w:r w:rsidRPr="00BB6EEE">
        <w:rPr>
          <w:rFonts w:cs="Times New Roman"/>
          <w:szCs w:val="24"/>
        </w:rPr>
        <w:t xml:space="preserve">due for repayment within </w:t>
      </w:r>
      <w:r>
        <w:rPr>
          <w:rFonts w:cs="Times New Roman"/>
          <w:szCs w:val="24"/>
        </w:rPr>
        <w:t>one</w:t>
      </w:r>
      <w:r w:rsidRPr="00BB6EEE">
        <w:rPr>
          <w:rFonts w:cs="Times New Roman"/>
          <w:szCs w:val="24"/>
        </w:rPr>
        <w:t xml:space="preserve"> year. </w:t>
      </w:r>
      <w:r>
        <w:rPr>
          <w:rFonts w:cs="Times New Roman"/>
          <w:szCs w:val="24"/>
        </w:rPr>
        <w:t xml:space="preserve">On </w:t>
      </w:r>
      <w:r w:rsidR="004C4FD2">
        <w:rPr>
          <w:rFonts w:cs="Times New Roman"/>
          <w:szCs w:val="24"/>
        </w:rPr>
        <w:t>August</w:t>
      </w:r>
      <w:r w:rsidR="007530F9">
        <w:rPr>
          <w:rFonts w:cs="Times New Roman"/>
          <w:szCs w:val="24"/>
        </w:rPr>
        <w:t xml:space="preserve"> 13</w:t>
      </w:r>
      <w:r w:rsidRPr="00BB6EEE">
        <w:rPr>
          <w:rFonts w:cs="Times New Roman"/>
          <w:szCs w:val="24"/>
        </w:rPr>
        <w:t>, 2025</w:t>
      </w:r>
      <w:r>
        <w:rPr>
          <w:rFonts w:cs="Times New Roman"/>
          <w:szCs w:val="24"/>
        </w:rPr>
        <w:t>, t</w:t>
      </w:r>
      <w:r w:rsidRPr="00BB6EEE">
        <w:rPr>
          <w:rFonts w:cs="Times New Roman"/>
          <w:szCs w:val="24"/>
        </w:rPr>
        <w:t xml:space="preserve">he Company’s Board of Directors passed a resolution </w:t>
      </w:r>
      <w:r>
        <w:rPr>
          <w:rFonts w:cs="Times New Roman"/>
          <w:szCs w:val="24"/>
        </w:rPr>
        <w:t>approving</w:t>
      </w:r>
      <w:r w:rsidRPr="00BB6EEE">
        <w:rPr>
          <w:rFonts w:cs="Times New Roman"/>
          <w:szCs w:val="24"/>
        </w:rPr>
        <w:t xml:space="preserve"> </w:t>
      </w:r>
      <w:r>
        <w:rPr>
          <w:rFonts w:cs="Times New Roman"/>
          <w:szCs w:val="24"/>
        </w:rPr>
        <w:t>the</w:t>
      </w:r>
      <w:r w:rsidRPr="00BB6EEE">
        <w:rPr>
          <w:rFonts w:cs="Times New Roman"/>
          <w:szCs w:val="24"/>
        </w:rPr>
        <w:t xml:space="preserve"> </w:t>
      </w:r>
      <w:r w:rsidR="00C90F3E">
        <w:rPr>
          <w:rFonts w:cs="Times New Roman"/>
          <w:szCs w:val="24"/>
        </w:rPr>
        <w:t xml:space="preserve">revision of the </w:t>
      </w:r>
      <w:r w:rsidRPr="00BB6EEE">
        <w:rPr>
          <w:rFonts w:cs="Times New Roman"/>
          <w:szCs w:val="24"/>
        </w:rPr>
        <w:t xml:space="preserve">liquidity management plans </w:t>
      </w:r>
      <w:r>
        <w:rPr>
          <w:rFonts w:cs="Times New Roman"/>
          <w:szCs w:val="24"/>
        </w:rPr>
        <w:t>for</w:t>
      </w:r>
      <w:r w:rsidRPr="00BB6EEE">
        <w:rPr>
          <w:rFonts w:cs="Times New Roman"/>
          <w:szCs w:val="24"/>
        </w:rPr>
        <w:t xml:space="preserve"> the Group and the Company. </w:t>
      </w:r>
      <w:r w:rsidR="00197A23">
        <w:rPr>
          <w:rFonts w:cs="Times New Roman"/>
          <w:szCs w:val="24"/>
        </w:rPr>
        <w:t xml:space="preserve">Since these </w:t>
      </w:r>
      <w:r w:rsidR="00C90F3E">
        <w:rPr>
          <w:rFonts w:cs="Times New Roman"/>
          <w:szCs w:val="24"/>
        </w:rPr>
        <w:t>circumstance</w:t>
      </w:r>
      <w:r w:rsidR="00A0612F">
        <w:rPr>
          <w:rFonts w:cs="Times New Roman"/>
          <w:szCs w:val="24"/>
        </w:rPr>
        <w:t xml:space="preserve">s </w:t>
      </w:r>
      <w:r w:rsidRPr="00BB6EEE">
        <w:rPr>
          <w:rFonts w:cs="Times New Roman"/>
          <w:szCs w:val="24"/>
        </w:rPr>
        <w:t xml:space="preserve">indicate that a material uncertainty exist that may cause significant doubt about the Group’s </w:t>
      </w:r>
      <w:r>
        <w:rPr>
          <w:rFonts w:cs="Times New Roman"/>
          <w:szCs w:val="24"/>
        </w:rPr>
        <w:t xml:space="preserve">and the Company’s </w:t>
      </w:r>
      <w:r w:rsidRPr="00BB6EEE">
        <w:rPr>
          <w:rFonts w:cs="Times New Roman"/>
          <w:szCs w:val="24"/>
        </w:rPr>
        <w:t xml:space="preserve">ability to continue as a going concern. Our </w:t>
      </w:r>
      <w:r w:rsidR="007654F0">
        <w:rPr>
          <w:szCs w:val="30"/>
        </w:rPr>
        <w:t>conclusion</w:t>
      </w:r>
      <w:r w:rsidRPr="00BB6EEE">
        <w:rPr>
          <w:rFonts w:cs="Times New Roman"/>
          <w:szCs w:val="24"/>
        </w:rPr>
        <w:t xml:space="preserve"> is not modified in respect of this matter.</w:t>
      </w:r>
    </w:p>
    <w:p w14:paraId="1A6963F2" w14:textId="77777777" w:rsidR="003F4E52" w:rsidRDefault="003F4E52" w:rsidP="008A46AD">
      <w:pPr>
        <w:ind w:left="432"/>
        <w:jc w:val="both"/>
        <w:rPr>
          <w:rFonts w:eastAsia="SimSun" w:cs="Times New Roman"/>
          <w:szCs w:val="24"/>
          <w:lang w:eastAsia="ja-JP"/>
        </w:rPr>
      </w:pPr>
    </w:p>
    <w:p w14:paraId="582C09D0" w14:textId="62916F67" w:rsidR="00CF1059" w:rsidRPr="00494AD6" w:rsidRDefault="00CF1059" w:rsidP="008A46AD">
      <w:pPr>
        <w:tabs>
          <w:tab w:val="center" w:pos="5760"/>
        </w:tabs>
        <w:ind w:left="432"/>
        <w:jc w:val="both"/>
        <w:rPr>
          <w:rFonts w:eastAsia="Cordia New" w:cs="Times New Roman"/>
          <w:color w:val="000000"/>
          <w:szCs w:val="24"/>
        </w:rPr>
      </w:pPr>
      <w:r w:rsidRPr="00494AD6">
        <w:rPr>
          <w:rFonts w:cs="Times New Roman"/>
          <w:szCs w:val="24"/>
        </w:rPr>
        <w:tab/>
      </w:r>
      <w:proofErr w:type="gramStart"/>
      <w:r w:rsidR="00E20389">
        <w:rPr>
          <w:rFonts w:cs="Times New Roman"/>
          <w:szCs w:val="24"/>
        </w:rPr>
        <w:t>Chavala</w:t>
      </w:r>
      <w:r w:rsidR="008A46AD">
        <w:rPr>
          <w:rFonts w:cstheme="minorBidi"/>
          <w:szCs w:val="24"/>
        </w:rPr>
        <w:t xml:space="preserve"> </w:t>
      </w:r>
      <w:r w:rsidR="00E20389">
        <w:rPr>
          <w:rFonts w:cs="Times New Roman"/>
          <w:szCs w:val="24"/>
        </w:rPr>
        <w:t xml:space="preserve"> Tienpasertkij</w:t>
      </w:r>
      <w:proofErr w:type="gramEnd"/>
    </w:p>
    <w:p w14:paraId="2C8154AB" w14:textId="77777777" w:rsidR="00CF1059" w:rsidRPr="00494AD6" w:rsidRDefault="00CF1059" w:rsidP="008A46AD">
      <w:pPr>
        <w:tabs>
          <w:tab w:val="center" w:pos="5760"/>
        </w:tabs>
        <w:ind w:left="432"/>
        <w:jc w:val="both"/>
        <w:rPr>
          <w:rFonts w:cs="Times New Roman"/>
          <w:szCs w:val="24"/>
        </w:rPr>
      </w:pPr>
      <w:r w:rsidRPr="00494AD6">
        <w:rPr>
          <w:rFonts w:cs="Times New Roman"/>
          <w:szCs w:val="24"/>
        </w:rPr>
        <w:tab/>
        <w:t>Certified Public Accountant (Thailand)</w:t>
      </w:r>
    </w:p>
    <w:p w14:paraId="2D665FC9" w14:textId="5685C521" w:rsidR="00D8334D" w:rsidRDefault="00CF1059" w:rsidP="008A46AD">
      <w:pPr>
        <w:tabs>
          <w:tab w:val="center" w:pos="5760"/>
        </w:tabs>
        <w:ind w:left="432"/>
        <w:jc w:val="both"/>
        <w:rPr>
          <w:rFonts w:cstheme="minorBidi"/>
          <w:szCs w:val="24"/>
        </w:rPr>
      </w:pPr>
      <w:r w:rsidRPr="00494AD6">
        <w:rPr>
          <w:rFonts w:cs="Times New Roman"/>
          <w:b/>
          <w:bCs/>
          <w:sz w:val="20"/>
          <w:szCs w:val="20"/>
        </w:rPr>
        <w:t>BANGKOK</w:t>
      </w:r>
      <w:r w:rsidRPr="00494AD6">
        <w:rPr>
          <w:rFonts w:cs="Times New Roman"/>
          <w:szCs w:val="24"/>
        </w:rPr>
        <w:tab/>
        <w:t xml:space="preserve">Registration No. </w:t>
      </w:r>
      <w:r w:rsidR="00E20389">
        <w:rPr>
          <w:szCs w:val="24"/>
        </w:rPr>
        <w:t>4301</w:t>
      </w:r>
    </w:p>
    <w:p w14:paraId="44CDADC4" w14:textId="587B741E" w:rsidR="00B04778" w:rsidRPr="00D8334D" w:rsidRDefault="0059395A" w:rsidP="008A46AD">
      <w:pPr>
        <w:tabs>
          <w:tab w:val="center" w:pos="5760"/>
        </w:tabs>
        <w:ind w:left="432"/>
        <w:jc w:val="both"/>
        <w:rPr>
          <w:rFonts w:cs="Times New Roman"/>
          <w:szCs w:val="24"/>
        </w:rPr>
      </w:pPr>
      <w:r>
        <w:rPr>
          <w:rFonts w:cstheme="minorBidi"/>
          <w:szCs w:val="24"/>
        </w:rPr>
        <w:t>August 13</w:t>
      </w:r>
      <w:r w:rsidR="00E20389">
        <w:rPr>
          <w:rFonts w:cstheme="minorBidi"/>
          <w:szCs w:val="24"/>
        </w:rPr>
        <w:t>,</w:t>
      </w:r>
      <w:r w:rsidR="00CF1059" w:rsidRPr="00494AD6">
        <w:rPr>
          <w:rFonts w:cs="Times New Roman"/>
          <w:szCs w:val="24"/>
        </w:rPr>
        <w:t xml:space="preserve"> </w:t>
      </w:r>
      <w:r w:rsidR="009515FF" w:rsidRPr="009515FF">
        <w:rPr>
          <w:szCs w:val="24"/>
        </w:rPr>
        <w:t>202</w:t>
      </w:r>
      <w:r w:rsidR="006812CF">
        <w:rPr>
          <w:szCs w:val="24"/>
        </w:rPr>
        <w:t>5</w:t>
      </w:r>
      <w:r w:rsidR="00CF1059" w:rsidRPr="00494AD6">
        <w:rPr>
          <w:rFonts w:cs="Times New Roman"/>
          <w:szCs w:val="24"/>
        </w:rPr>
        <w:tab/>
      </w:r>
      <w:proofErr w:type="gramStart"/>
      <w:r w:rsidR="00655976" w:rsidRPr="00494AD6">
        <w:rPr>
          <w:rFonts w:eastAsia="Angsana New" w:cs="Times New Roman"/>
          <w:b/>
          <w:bCs/>
          <w:sz w:val="20"/>
          <w:szCs w:val="20"/>
        </w:rPr>
        <w:t>DELOITTE</w:t>
      </w:r>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TOUCHE</w:t>
      </w:r>
      <w:proofErr w:type="gramEnd"/>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TOHMATSU</w:t>
      </w:r>
      <w:r w:rsidR="00CF1059" w:rsidRPr="00494AD6">
        <w:rPr>
          <w:rFonts w:eastAsia="Angsana New" w:cs="Times New Roman"/>
          <w:b/>
          <w:bCs/>
          <w:sz w:val="20"/>
          <w:szCs w:val="20"/>
        </w:rPr>
        <w:t xml:space="preserve">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 xml:space="preserve">JAIYOS </w:t>
      </w:r>
      <w:r w:rsidR="00655976" w:rsidRPr="00494AD6">
        <w:rPr>
          <w:rFonts w:eastAsia="Angsana New" w:cs="Times New Roman"/>
          <w:b/>
          <w:bCs/>
          <w:sz w:val="20"/>
          <w:szCs w:val="20"/>
        </w:rPr>
        <w:t xml:space="preserve"> AUDIT  </w:t>
      </w:r>
      <w:r w:rsidR="00CF1059" w:rsidRPr="00494AD6">
        <w:rPr>
          <w:rFonts w:eastAsia="Angsana New" w:cs="Times New Roman"/>
          <w:b/>
          <w:bCs/>
          <w:sz w:val="20"/>
          <w:szCs w:val="20"/>
        </w:rPr>
        <w:t xml:space="preserve">CO., </w:t>
      </w:r>
      <w:r w:rsidR="00655976" w:rsidRPr="00494AD6">
        <w:rPr>
          <w:rFonts w:eastAsia="Angsana New" w:cs="Times New Roman"/>
          <w:b/>
          <w:bCs/>
          <w:sz w:val="20"/>
          <w:szCs w:val="20"/>
        </w:rPr>
        <w:t xml:space="preserve"> </w:t>
      </w:r>
      <w:r w:rsidR="00CF1059" w:rsidRPr="00494AD6">
        <w:rPr>
          <w:rFonts w:eastAsia="Angsana New" w:cs="Times New Roman"/>
          <w:b/>
          <w:bCs/>
          <w:sz w:val="20"/>
          <w:szCs w:val="20"/>
        </w:rPr>
        <w:t>LTD.</w:t>
      </w:r>
    </w:p>
    <w:sectPr w:rsidR="00B04778" w:rsidRPr="00D8334D" w:rsidSect="00534DBF">
      <w:headerReference w:type="default" r:id="rId8"/>
      <w:pgSz w:w="11909" w:h="16834" w:code="9"/>
      <w:pgMar w:top="1440" w:right="1224" w:bottom="1152" w:left="1440" w:header="720" w:footer="720"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07EFE9" w14:textId="77777777" w:rsidR="0081399F" w:rsidRDefault="0081399F">
      <w:r>
        <w:separator/>
      </w:r>
    </w:p>
  </w:endnote>
  <w:endnote w:type="continuationSeparator" w:id="0">
    <w:p w14:paraId="3EB2BF13" w14:textId="77777777" w:rsidR="0081399F" w:rsidRDefault="00813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Univers">
    <w:charset w:val="00"/>
    <w:family w:val="swiss"/>
    <w:pitch w:val="variable"/>
    <w:sig w:usb0="80000287" w:usb1="00000000" w:usb2="00000000" w:usb3="00000000" w:csb0="0000000F" w:csb1="00000000"/>
  </w:font>
  <w:font w:name="Dilleni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0ABAD" w14:textId="77777777" w:rsidR="0081399F" w:rsidRDefault="0081399F">
      <w:r>
        <w:separator/>
      </w:r>
    </w:p>
  </w:footnote>
  <w:footnote w:type="continuationSeparator" w:id="0">
    <w:p w14:paraId="3F805200" w14:textId="77777777" w:rsidR="0081399F" w:rsidRDefault="00813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hAnsi="CordiaUPC" w:cs="Times New Roman"/>
        <w:szCs w:val="24"/>
      </w:rPr>
      <w:id w:val="-1599247414"/>
      <w:docPartObj>
        <w:docPartGallery w:val="Page Numbers (Top of Page)"/>
        <w:docPartUnique/>
      </w:docPartObj>
    </w:sdtPr>
    <w:sdtEndPr>
      <w:rPr>
        <w:noProof/>
      </w:rPr>
    </w:sdtEndPr>
    <w:sdtContent>
      <w:p w14:paraId="6150B74F" w14:textId="77777777" w:rsidR="00EF6FCB" w:rsidRPr="00AA142E" w:rsidRDefault="00EF6FCB" w:rsidP="00EF6FCB">
        <w:pPr>
          <w:tabs>
            <w:tab w:val="center" w:pos="4590"/>
            <w:tab w:val="right" w:pos="8306"/>
          </w:tabs>
          <w:ind w:right="7"/>
          <w:rPr>
            <w:rFonts w:ascii="Univers" w:eastAsia="Angsana New" w:hAnsi="Univers" w:cs="AngsanaUPC"/>
            <w:sz w:val="16"/>
            <w:szCs w:val="16"/>
            <w:cs/>
          </w:rPr>
        </w:pPr>
        <w:r w:rsidRPr="00FC14CD">
          <w:rPr>
            <w:rFonts w:ascii="Univers" w:eastAsia="Angsana New" w:hAnsi="Univers" w:cs="AngsanaUPC"/>
            <w:b/>
            <w:bCs/>
            <w:sz w:val="16"/>
            <w:szCs w:val="16"/>
          </w:rPr>
          <w:t>Deloitte Touche Tohmatsu Jaiyos Audit</w:t>
        </w:r>
      </w:p>
      <w:p w14:paraId="70953C65" w14:textId="77777777" w:rsidR="00EF6FCB" w:rsidRPr="00FC14CD" w:rsidRDefault="00EF6FCB" w:rsidP="00EF6FCB">
        <w:pPr>
          <w:tabs>
            <w:tab w:val="center" w:pos="4153"/>
            <w:tab w:val="right" w:pos="8306"/>
          </w:tabs>
          <w:rPr>
            <w:rFonts w:cs="AngsanaUPC"/>
            <w:szCs w:val="24"/>
          </w:rPr>
        </w:pPr>
        <w:r w:rsidRPr="00FC14CD">
          <w:rPr>
            <w:rFonts w:eastAsia="Angsana New" w:cs="DilleniaUPC"/>
            <w:b/>
            <w:bCs/>
            <w:szCs w:val="24"/>
            <w:cs/>
            <w:lang w:val="th-TH"/>
          </w:rPr>
          <w:t>ดีลอยท์ ทู้ช โธมัทสุ ไชยยศ</w:t>
        </w:r>
        <w:r w:rsidRPr="00FC14CD">
          <w:rPr>
            <w:rFonts w:eastAsia="Angsana New" w:cs="DilleniaUPC" w:hint="cs"/>
            <w:b/>
            <w:bCs/>
            <w:szCs w:val="24"/>
            <w:cs/>
            <w:lang w:val="th-TH"/>
          </w:rPr>
          <w:t xml:space="preserve"> สอบบัญชี</w:t>
        </w:r>
      </w:p>
      <w:p w14:paraId="75E4C39B" w14:textId="4A28AB9B" w:rsidR="00EF6FCB" w:rsidRPr="00EF6FCB" w:rsidRDefault="00EF6FCB">
        <w:pPr>
          <w:pStyle w:val="Header"/>
          <w:jc w:val="center"/>
          <w:rPr>
            <w:rFonts w:hAnsi="Times New Roman" w:cs="Times New Roman"/>
            <w:szCs w:val="24"/>
          </w:rPr>
        </w:pPr>
        <w:r w:rsidRPr="00EF6FCB">
          <w:rPr>
            <w:rFonts w:hAnsi="Times New Roman" w:cs="Times New Roman"/>
            <w:szCs w:val="24"/>
            <w:cs/>
          </w:rPr>
          <w:t xml:space="preserve">- </w:t>
        </w:r>
        <w:r w:rsidRPr="00EF6FCB">
          <w:rPr>
            <w:rFonts w:hAnsi="Times New Roman" w:cs="Times New Roman"/>
            <w:szCs w:val="24"/>
          </w:rPr>
          <w:fldChar w:fldCharType="begin"/>
        </w:r>
        <w:r w:rsidRPr="00EF6FCB">
          <w:rPr>
            <w:rFonts w:hAnsi="Times New Roman" w:cs="Times New Roman"/>
            <w:szCs w:val="24"/>
          </w:rPr>
          <w:instrText xml:space="preserve"> PAGE   \* MERGEFORMAT </w:instrText>
        </w:r>
        <w:r w:rsidRPr="00EF6FCB">
          <w:rPr>
            <w:rFonts w:hAnsi="Times New Roman" w:cs="Times New Roman"/>
            <w:szCs w:val="24"/>
          </w:rPr>
          <w:fldChar w:fldCharType="separate"/>
        </w:r>
        <w:r w:rsidRPr="00EF6FCB">
          <w:rPr>
            <w:rFonts w:hAnsi="Times New Roman" w:cs="Times New Roman"/>
            <w:noProof/>
            <w:szCs w:val="24"/>
          </w:rPr>
          <w:t>2</w:t>
        </w:r>
        <w:r w:rsidRPr="00EF6FCB">
          <w:rPr>
            <w:rFonts w:hAnsi="Times New Roman" w:cs="Times New Roman"/>
            <w:noProof/>
            <w:szCs w:val="24"/>
          </w:rPr>
          <w:fldChar w:fldCharType="end"/>
        </w:r>
        <w:r w:rsidRPr="00EF6FCB">
          <w:rPr>
            <w:rFonts w:hAnsi="Times New Roman" w:cs="Times New Roman"/>
            <w:noProof/>
            <w:szCs w:val="24"/>
            <w:cs/>
          </w:rPr>
          <w:t xml:space="preserve"> -</w:t>
        </w:r>
      </w:p>
    </w:sdtContent>
  </w:sdt>
  <w:p w14:paraId="24D7430F" w14:textId="77777777" w:rsidR="008A46AD" w:rsidRDefault="008A46AD" w:rsidP="006812CF">
    <w:pPr>
      <w:pStyle w:val="Header"/>
      <w:jc w:val="center"/>
      <w:rPr>
        <w:rFonts w:hAnsi="Times New Roman" w:cstheme="minorBidi"/>
        <w:b/>
        <w:bCs/>
        <w:szCs w:val="24"/>
      </w:rPr>
    </w:pPr>
  </w:p>
  <w:p w14:paraId="71B71E8A" w14:textId="77777777" w:rsidR="00EF6FCB" w:rsidRPr="00EF6FCB" w:rsidRDefault="00EF6FCB" w:rsidP="006812CF">
    <w:pPr>
      <w:pStyle w:val="Header"/>
      <w:jc w:val="center"/>
      <w:rPr>
        <w:rFonts w:hAnsi="Times New Roman" w:cstheme="minorBidi"/>
        <w:b/>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45471E"/>
    <w:multiLevelType w:val="multilevel"/>
    <w:tmpl w:val="D84A2792"/>
    <w:lvl w:ilvl="0">
      <w:start w:val="1"/>
      <w:numFmt w:val="decimal"/>
      <w:lvlText w:val="%1."/>
      <w:lvlJc w:val="left"/>
      <w:pPr>
        <w:ind w:left="1152" w:hanging="360"/>
      </w:pPr>
    </w:lvl>
    <w:lvl w:ilvl="1">
      <w:start w:val="1"/>
      <w:numFmt w:val="decimal"/>
      <w:isLgl/>
      <w:lvlText w:val="%1.%2"/>
      <w:lvlJc w:val="left"/>
      <w:pPr>
        <w:ind w:left="1350" w:hanging="360"/>
      </w:pPr>
      <w:rPr>
        <w:rFonts w:hint="default"/>
      </w:rPr>
    </w:lvl>
    <w:lvl w:ilvl="2">
      <w:start w:val="1"/>
      <w:numFmt w:val="decimal"/>
      <w:isLgl/>
      <w:lvlText w:val="%1.%2.%3"/>
      <w:lvlJc w:val="left"/>
      <w:pPr>
        <w:ind w:left="1908" w:hanging="720"/>
      </w:pPr>
      <w:rPr>
        <w:rFonts w:hint="default"/>
      </w:rPr>
    </w:lvl>
    <w:lvl w:ilvl="3">
      <w:start w:val="1"/>
      <w:numFmt w:val="decimal"/>
      <w:isLgl/>
      <w:lvlText w:val="%1.%2.%3.%4"/>
      <w:lvlJc w:val="left"/>
      <w:pPr>
        <w:ind w:left="2106" w:hanging="720"/>
      </w:pPr>
      <w:rPr>
        <w:rFonts w:hint="default"/>
      </w:rPr>
    </w:lvl>
    <w:lvl w:ilvl="4">
      <w:start w:val="1"/>
      <w:numFmt w:val="decimal"/>
      <w:isLgl/>
      <w:lvlText w:val="%1.%2.%3.%4.%5"/>
      <w:lvlJc w:val="left"/>
      <w:pPr>
        <w:ind w:left="2664" w:hanging="1080"/>
      </w:pPr>
      <w:rPr>
        <w:rFonts w:hint="default"/>
      </w:rPr>
    </w:lvl>
    <w:lvl w:ilvl="5">
      <w:start w:val="1"/>
      <w:numFmt w:val="decimal"/>
      <w:isLgl/>
      <w:lvlText w:val="%1.%2.%3.%4.%5.%6"/>
      <w:lvlJc w:val="left"/>
      <w:pPr>
        <w:ind w:left="2862"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18" w:hanging="1440"/>
      </w:pPr>
      <w:rPr>
        <w:rFonts w:hint="default"/>
      </w:rPr>
    </w:lvl>
    <w:lvl w:ilvl="8">
      <w:start w:val="1"/>
      <w:numFmt w:val="decimal"/>
      <w:isLgl/>
      <w:lvlText w:val="%1.%2.%3.%4.%5.%6.%7.%8.%9"/>
      <w:lvlJc w:val="left"/>
      <w:pPr>
        <w:ind w:left="4176" w:hanging="1800"/>
      </w:pPr>
      <w:rPr>
        <w:rFonts w:hint="default"/>
      </w:rPr>
    </w:lvl>
  </w:abstractNum>
  <w:num w:numId="1" w16cid:durableId="13229286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097"/>
    <w:rsid w:val="00007F73"/>
    <w:rsid w:val="00012E37"/>
    <w:rsid w:val="000178C9"/>
    <w:rsid w:val="00020653"/>
    <w:rsid w:val="00020C3D"/>
    <w:rsid w:val="00022471"/>
    <w:rsid w:val="00022DF6"/>
    <w:rsid w:val="000256BB"/>
    <w:rsid w:val="000264C1"/>
    <w:rsid w:val="000277D8"/>
    <w:rsid w:val="000311C3"/>
    <w:rsid w:val="00052392"/>
    <w:rsid w:val="000628B2"/>
    <w:rsid w:val="00063CB5"/>
    <w:rsid w:val="00064347"/>
    <w:rsid w:val="00067E53"/>
    <w:rsid w:val="000702A9"/>
    <w:rsid w:val="000709A4"/>
    <w:rsid w:val="00071CB2"/>
    <w:rsid w:val="00072828"/>
    <w:rsid w:val="00072C08"/>
    <w:rsid w:val="00080152"/>
    <w:rsid w:val="000803B3"/>
    <w:rsid w:val="00081B56"/>
    <w:rsid w:val="000902C2"/>
    <w:rsid w:val="000A0C3F"/>
    <w:rsid w:val="000A0E17"/>
    <w:rsid w:val="000A2304"/>
    <w:rsid w:val="000A3F9D"/>
    <w:rsid w:val="000B2E2C"/>
    <w:rsid w:val="000B548C"/>
    <w:rsid w:val="000C3B95"/>
    <w:rsid w:val="000D5C68"/>
    <w:rsid w:val="00103EB3"/>
    <w:rsid w:val="00106CDE"/>
    <w:rsid w:val="00107A48"/>
    <w:rsid w:val="00110F93"/>
    <w:rsid w:val="00111F47"/>
    <w:rsid w:val="00114229"/>
    <w:rsid w:val="00115068"/>
    <w:rsid w:val="001252ED"/>
    <w:rsid w:val="001307A8"/>
    <w:rsid w:val="00132CF2"/>
    <w:rsid w:val="0013695D"/>
    <w:rsid w:val="001403F7"/>
    <w:rsid w:val="00142D23"/>
    <w:rsid w:val="0014360F"/>
    <w:rsid w:val="001436CC"/>
    <w:rsid w:val="00145C9C"/>
    <w:rsid w:val="00150C39"/>
    <w:rsid w:val="00151EEC"/>
    <w:rsid w:val="00152687"/>
    <w:rsid w:val="001533C6"/>
    <w:rsid w:val="00153994"/>
    <w:rsid w:val="001569A5"/>
    <w:rsid w:val="00165FF5"/>
    <w:rsid w:val="00166C78"/>
    <w:rsid w:val="00171E23"/>
    <w:rsid w:val="00173ED4"/>
    <w:rsid w:val="001759C6"/>
    <w:rsid w:val="00186FD3"/>
    <w:rsid w:val="00187DCA"/>
    <w:rsid w:val="00193658"/>
    <w:rsid w:val="001976F4"/>
    <w:rsid w:val="00197A23"/>
    <w:rsid w:val="001A0C41"/>
    <w:rsid w:val="001A1466"/>
    <w:rsid w:val="001A1F29"/>
    <w:rsid w:val="001A2EFB"/>
    <w:rsid w:val="001A2F98"/>
    <w:rsid w:val="001B4D1F"/>
    <w:rsid w:val="001B76C0"/>
    <w:rsid w:val="001C2476"/>
    <w:rsid w:val="001C5E9C"/>
    <w:rsid w:val="001D4933"/>
    <w:rsid w:val="001E04A3"/>
    <w:rsid w:val="001E26DE"/>
    <w:rsid w:val="001E6E10"/>
    <w:rsid w:val="001F59FC"/>
    <w:rsid w:val="00200B51"/>
    <w:rsid w:val="002032CD"/>
    <w:rsid w:val="00203871"/>
    <w:rsid w:val="002041FD"/>
    <w:rsid w:val="00205EF0"/>
    <w:rsid w:val="00211BEC"/>
    <w:rsid w:val="00215E09"/>
    <w:rsid w:val="002161B6"/>
    <w:rsid w:val="00216983"/>
    <w:rsid w:val="00220CD4"/>
    <w:rsid w:val="002310B5"/>
    <w:rsid w:val="002316D1"/>
    <w:rsid w:val="00235F8B"/>
    <w:rsid w:val="00241314"/>
    <w:rsid w:val="00241D53"/>
    <w:rsid w:val="00242FEB"/>
    <w:rsid w:val="00243327"/>
    <w:rsid w:val="002448A4"/>
    <w:rsid w:val="00244DC5"/>
    <w:rsid w:val="00257AA6"/>
    <w:rsid w:val="002609FD"/>
    <w:rsid w:val="00262836"/>
    <w:rsid w:val="00272467"/>
    <w:rsid w:val="00273218"/>
    <w:rsid w:val="002740B7"/>
    <w:rsid w:val="00281561"/>
    <w:rsid w:val="00282722"/>
    <w:rsid w:val="00287608"/>
    <w:rsid w:val="00295962"/>
    <w:rsid w:val="002961F4"/>
    <w:rsid w:val="00297A9C"/>
    <w:rsid w:val="002A0393"/>
    <w:rsid w:val="002A0AC0"/>
    <w:rsid w:val="002A2AEB"/>
    <w:rsid w:val="002A445A"/>
    <w:rsid w:val="002A78C5"/>
    <w:rsid w:val="002B7634"/>
    <w:rsid w:val="002C4CFB"/>
    <w:rsid w:val="002C4F84"/>
    <w:rsid w:val="002C5249"/>
    <w:rsid w:val="002C6145"/>
    <w:rsid w:val="002D0206"/>
    <w:rsid w:val="002E03A7"/>
    <w:rsid w:val="002E2FEC"/>
    <w:rsid w:val="002E7DCF"/>
    <w:rsid w:val="002F4AA4"/>
    <w:rsid w:val="002F53F4"/>
    <w:rsid w:val="002F7539"/>
    <w:rsid w:val="00303627"/>
    <w:rsid w:val="00313A16"/>
    <w:rsid w:val="00315B4B"/>
    <w:rsid w:val="00320617"/>
    <w:rsid w:val="00327A6B"/>
    <w:rsid w:val="003329DC"/>
    <w:rsid w:val="003338D9"/>
    <w:rsid w:val="00333B99"/>
    <w:rsid w:val="0034599D"/>
    <w:rsid w:val="00356DD1"/>
    <w:rsid w:val="00357048"/>
    <w:rsid w:val="00362AA8"/>
    <w:rsid w:val="00364D97"/>
    <w:rsid w:val="00366547"/>
    <w:rsid w:val="00372496"/>
    <w:rsid w:val="00372618"/>
    <w:rsid w:val="00381B70"/>
    <w:rsid w:val="00382F4E"/>
    <w:rsid w:val="003842FA"/>
    <w:rsid w:val="003865C1"/>
    <w:rsid w:val="003876A8"/>
    <w:rsid w:val="00390079"/>
    <w:rsid w:val="00393014"/>
    <w:rsid w:val="003969E6"/>
    <w:rsid w:val="003A37F8"/>
    <w:rsid w:val="003B47AA"/>
    <w:rsid w:val="003B7C50"/>
    <w:rsid w:val="003C394F"/>
    <w:rsid w:val="003D04AC"/>
    <w:rsid w:val="003D29BD"/>
    <w:rsid w:val="003D404B"/>
    <w:rsid w:val="003E10C3"/>
    <w:rsid w:val="003E1A0A"/>
    <w:rsid w:val="003E4588"/>
    <w:rsid w:val="003E478F"/>
    <w:rsid w:val="003F4C63"/>
    <w:rsid w:val="003F4E52"/>
    <w:rsid w:val="0040150A"/>
    <w:rsid w:val="00401F85"/>
    <w:rsid w:val="00402C24"/>
    <w:rsid w:val="00403B56"/>
    <w:rsid w:val="00410A4A"/>
    <w:rsid w:val="00412E36"/>
    <w:rsid w:val="004141EE"/>
    <w:rsid w:val="00421122"/>
    <w:rsid w:val="00423B25"/>
    <w:rsid w:val="004333FA"/>
    <w:rsid w:val="00445455"/>
    <w:rsid w:val="00447D51"/>
    <w:rsid w:val="00454631"/>
    <w:rsid w:val="004605A8"/>
    <w:rsid w:val="00460B89"/>
    <w:rsid w:val="00461C14"/>
    <w:rsid w:val="00462A46"/>
    <w:rsid w:val="00462C5C"/>
    <w:rsid w:val="004631DC"/>
    <w:rsid w:val="00463CE2"/>
    <w:rsid w:val="00465309"/>
    <w:rsid w:val="004700FD"/>
    <w:rsid w:val="0047421A"/>
    <w:rsid w:val="00480B72"/>
    <w:rsid w:val="0048622F"/>
    <w:rsid w:val="00487143"/>
    <w:rsid w:val="004911F6"/>
    <w:rsid w:val="0049475F"/>
    <w:rsid w:val="00494AD6"/>
    <w:rsid w:val="00495AA7"/>
    <w:rsid w:val="004A33CB"/>
    <w:rsid w:val="004A7E21"/>
    <w:rsid w:val="004B074A"/>
    <w:rsid w:val="004B1A1A"/>
    <w:rsid w:val="004B3605"/>
    <w:rsid w:val="004B5142"/>
    <w:rsid w:val="004B6BB3"/>
    <w:rsid w:val="004C4FD2"/>
    <w:rsid w:val="004C7827"/>
    <w:rsid w:val="004D188E"/>
    <w:rsid w:val="004D5513"/>
    <w:rsid w:val="004D6ECE"/>
    <w:rsid w:val="004E45C2"/>
    <w:rsid w:val="004F2087"/>
    <w:rsid w:val="004F5A82"/>
    <w:rsid w:val="004F7D9C"/>
    <w:rsid w:val="00502A18"/>
    <w:rsid w:val="00505004"/>
    <w:rsid w:val="00505BF1"/>
    <w:rsid w:val="00507056"/>
    <w:rsid w:val="00513CEC"/>
    <w:rsid w:val="005247CB"/>
    <w:rsid w:val="00527568"/>
    <w:rsid w:val="00534DBF"/>
    <w:rsid w:val="00536261"/>
    <w:rsid w:val="00542D2D"/>
    <w:rsid w:val="00567E1D"/>
    <w:rsid w:val="00570C11"/>
    <w:rsid w:val="005739FC"/>
    <w:rsid w:val="00573EEE"/>
    <w:rsid w:val="0058117F"/>
    <w:rsid w:val="0058127E"/>
    <w:rsid w:val="00584043"/>
    <w:rsid w:val="00586936"/>
    <w:rsid w:val="0059113E"/>
    <w:rsid w:val="00591DFB"/>
    <w:rsid w:val="00593053"/>
    <w:rsid w:val="0059395A"/>
    <w:rsid w:val="0059432E"/>
    <w:rsid w:val="00597359"/>
    <w:rsid w:val="005A1284"/>
    <w:rsid w:val="005A6894"/>
    <w:rsid w:val="005B133B"/>
    <w:rsid w:val="005B5560"/>
    <w:rsid w:val="005C191E"/>
    <w:rsid w:val="005C3715"/>
    <w:rsid w:val="005C3BD4"/>
    <w:rsid w:val="005C49A0"/>
    <w:rsid w:val="005C5A3D"/>
    <w:rsid w:val="005D758E"/>
    <w:rsid w:val="005F17C8"/>
    <w:rsid w:val="00606330"/>
    <w:rsid w:val="006071E0"/>
    <w:rsid w:val="006073AE"/>
    <w:rsid w:val="00612A7D"/>
    <w:rsid w:val="00616802"/>
    <w:rsid w:val="00616E50"/>
    <w:rsid w:val="006173FC"/>
    <w:rsid w:val="00623252"/>
    <w:rsid w:val="00625FE2"/>
    <w:rsid w:val="006312B9"/>
    <w:rsid w:val="00631D75"/>
    <w:rsid w:val="00635760"/>
    <w:rsid w:val="0064464F"/>
    <w:rsid w:val="00644DE3"/>
    <w:rsid w:val="006468D9"/>
    <w:rsid w:val="00647780"/>
    <w:rsid w:val="0065005D"/>
    <w:rsid w:val="00650F8C"/>
    <w:rsid w:val="0065311C"/>
    <w:rsid w:val="00655976"/>
    <w:rsid w:val="00656681"/>
    <w:rsid w:val="00656ECD"/>
    <w:rsid w:val="006702EA"/>
    <w:rsid w:val="00672396"/>
    <w:rsid w:val="006751CC"/>
    <w:rsid w:val="0067648E"/>
    <w:rsid w:val="006812CF"/>
    <w:rsid w:val="00686E6B"/>
    <w:rsid w:val="00697064"/>
    <w:rsid w:val="006A1431"/>
    <w:rsid w:val="006A460B"/>
    <w:rsid w:val="006B0576"/>
    <w:rsid w:val="006B1E6B"/>
    <w:rsid w:val="006C6CAA"/>
    <w:rsid w:val="006D072C"/>
    <w:rsid w:val="006D6702"/>
    <w:rsid w:val="006E11F9"/>
    <w:rsid w:val="006E7531"/>
    <w:rsid w:val="006F3035"/>
    <w:rsid w:val="00701B42"/>
    <w:rsid w:val="007036FE"/>
    <w:rsid w:val="00703E9C"/>
    <w:rsid w:val="00704011"/>
    <w:rsid w:val="00715CCC"/>
    <w:rsid w:val="00717F71"/>
    <w:rsid w:val="00720BC5"/>
    <w:rsid w:val="007217C4"/>
    <w:rsid w:val="0072490F"/>
    <w:rsid w:val="007332B6"/>
    <w:rsid w:val="007352D7"/>
    <w:rsid w:val="00735BB7"/>
    <w:rsid w:val="00742EC9"/>
    <w:rsid w:val="00744958"/>
    <w:rsid w:val="00746587"/>
    <w:rsid w:val="00746E5A"/>
    <w:rsid w:val="0075087A"/>
    <w:rsid w:val="00752074"/>
    <w:rsid w:val="0075266B"/>
    <w:rsid w:val="007530F9"/>
    <w:rsid w:val="00757F06"/>
    <w:rsid w:val="007619A3"/>
    <w:rsid w:val="00761A6E"/>
    <w:rsid w:val="0076333D"/>
    <w:rsid w:val="00764A76"/>
    <w:rsid w:val="007654F0"/>
    <w:rsid w:val="00766603"/>
    <w:rsid w:val="007679AB"/>
    <w:rsid w:val="00773C95"/>
    <w:rsid w:val="00774FCD"/>
    <w:rsid w:val="00776548"/>
    <w:rsid w:val="00784CFF"/>
    <w:rsid w:val="00797473"/>
    <w:rsid w:val="007A095A"/>
    <w:rsid w:val="007A2407"/>
    <w:rsid w:val="007A7704"/>
    <w:rsid w:val="007B28B8"/>
    <w:rsid w:val="007B3E23"/>
    <w:rsid w:val="007B688B"/>
    <w:rsid w:val="007B7884"/>
    <w:rsid w:val="007B7FEA"/>
    <w:rsid w:val="007C1BCC"/>
    <w:rsid w:val="007C3319"/>
    <w:rsid w:val="007C4CE7"/>
    <w:rsid w:val="007C5493"/>
    <w:rsid w:val="007C63F5"/>
    <w:rsid w:val="007C79BC"/>
    <w:rsid w:val="007D2777"/>
    <w:rsid w:val="007D2FD8"/>
    <w:rsid w:val="007D781F"/>
    <w:rsid w:val="007E0139"/>
    <w:rsid w:val="007E1B9F"/>
    <w:rsid w:val="007E4C3F"/>
    <w:rsid w:val="007E5148"/>
    <w:rsid w:val="00800EA1"/>
    <w:rsid w:val="0080287B"/>
    <w:rsid w:val="00811DF6"/>
    <w:rsid w:val="0081314C"/>
    <w:rsid w:val="0081399F"/>
    <w:rsid w:val="00820C46"/>
    <w:rsid w:val="00822434"/>
    <w:rsid w:val="00832D68"/>
    <w:rsid w:val="0083312C"/>
    <w:rsid w:val="00841D8C"/>
    <w:rsid w:val="008444D2"/>
    <w:rsid w:val="00850AD1"/>
    <w:rsid w:val="00856163"/>
    <w:rsid w:val="008638D3"/>
    <w:rsid w:val="00865F8E"/>
    <w:rsid w:val="00871080"/>
    <w:rsid w:val="00872381"/>
    <w:rsid w:val="00873513"/>
    <w:rsid w:val="00883B74"/>
    <w:rsid w:val="008873F8"/>
    <w:rsid w:val="00892551"/>
    <w:rsid w:val="00892D18"/>
    <w:rsid w:val="00894FF0"/>
    <w:rsid w:val="008A025E"/>
    <w:rsid w:val="008A46AD"/>
    <w:rsid w:val="008B01CA"/>
    <w:rsid w:val="008C0B61"/>
    <w:rsid w:val="008C2714"/>
    <w:rsid w:val="008C3DA7"/>
    <w:rsid w:val="008D7789"/>
    <w:rsid w:val="008E00B4"/>
    <w:rsid w:val="008E0DE5"/>
    <w:rsid w:val="008E52E9"/>
    <w:rsid w:val="008F07FC"/>
    <w:rsid w:val="008F1B4C"/>
    <w:rsid w:val="008F50D6"/>
    <w:rsid w:val="008F5584"/>
    <w:rsid w:val="00900E4A"/>
    <w:rsid w:val="00901F25"/>
    <w:rsid w:val="0090378D"/>
    <w:rsid w:val="009072D3"/>
    <w:rsid w:val="00914AD7"/>
    <w:rsid w:val="009163A0"/>
    <w:rsid w:val="00924BA3"/>
    <w:rsid w:val="009265DD"/>
    <w:rsid w:val="009313E5"/>
    <w:rsid w:val="009354C0"/>
    <w:rsid w:val="00943229"/>
    <w:rsid w:val="009439DC"/>
    <w:rsid w:val="0094507D"/>
    <w:rsid w:val="0095121F"/>
    <w:rsid w:val="009515FF"/>
    <w:rsid w:val="0095736A"/>
    <w:rsid w:val="00957BF2"/>
    <w:rsid w:val="00961603"/>
    <w:rsid w:val="00961FF9"/>
    <w:rsid w:val="00967F04"/>
    <w:rsid w:val="00971D23"/>
    <w:rsid w:val="00977087"/>
    <w:rsid w:val="00980389"/>
    <w:rsid w:val="009856E8"/>
    <w:rsid w:val="00994504"/>
    <w:rsid w:val="00996641"/>
    <w:rsid w:val="009A059B"/>
    <w:rsid w:val="009A67E7"/>
    <w:rsid w:val="009A6B77"/>
    <w:rsid w:val="009A76D4"/>
    <w:rsid w:val="009C0E7C"/>
    <w:rsid w:val="009C0EE7"/>
    <w:rsid w:val="009C1F24"/>
    <w:rsid w:val="009C2DE1"/>
    <w:rsid w:val="009C379E"/>
    <w:rsid w:val="009D414D"/>
    <w:rsid w:val="009D5396"/>
    <w:rsid w:val="009E1768"/>
    <w:rsid w:val="009E2DFE"/>
    <w:rsid w:val="009E3674"/>
    <w:rsid w:val="009E49DB"/>
    <w:rsid w:val="009E4A3E"/>
    <w:rsid w:val="009F52F3"/>
    <w:rsid w:val="009F7BF8"/>
    <w:rsid w:val="00A0063B"/>
    <w:rsid w:val="00A0612F"/>
    <w:rsid w:val="00A07935"/>
    <w:rsid w:val="00A10EFF"/>
    <w:rsid w:val="00A12551"/>
    <w:rsid w:val="00A13878"/>
    <w:rsid w:val="00A15730"/>
    <w:rsid w:val="00A15FEE"/>
    <w:rsid w:val="00A23169"/>
    <w:rsid w:val="00A270F4"/>
    <w:rsid w:val="00A334DC"/>
    <w:rsid w:val="00A378D2"/>
    <w:rsid w:val="00A41330"/>
    <w:rsid w:val="00A51826"/>
    <w:rsid w:val="00A51C55"/>
    <w:rsid w:val="00A56B2E"/>
    <w:rsid w:val="00A57714"/>
    <w:rsid w:val="00A60F60"/>
    <w:rsid w:val="00A61D69"/>
    <w:rsid w:val="00A75805"/>
    <w:rsid w:val="00A80CE1"/>
    <w:rsid w:val="00A83641"/>
    <w:rsid w:val="00A93136"/>
    <w:rsid w:val="00A932BD"/>
    <w:rsid w:val="00A934D9"/>
    <w:rsid w:val="00AA0A1A"/>
    <w:rsid w:val="00AA1BA6"/>
    <w:rsid w:val="00AA5373"/>
    <w:rsid w:val="00AA7BBE"/>
    <w:rsid w:val="00AB55A7"/>
    <w:rsid w:val="00AB6D10"/>
    <w:rsid w:val="00AB7570"/>
    <w:rsid w:val="00AC5EFE"/>
    <w:rsid w:val="00AE175C"/>
    <w:rsid w:val="00AF05F7"/>
    <w:rsid w:val="00AF0C7F"/>
    <w:rsid w:val="00AF1972"/>
    <w:rsid w:val="00AF1A38"/>
    <w:rsid w:val="00AF3695"/>
    <w:rsid w:val="00AF62C6"/>
    <w:rsid w:val="00B02EEA"/>
    <w:rsid w:val="00B02FF7"/>
    <w:rsid w:val="00B04778"/>
    <w:rsid w:val="00B076BF"/>
    <w:rsid w:val="00B14BC5"/>
    <w:rsid w:val="00B2041F"/>
    <w:rsid w:val="00B33300"/>
    <w:rsid w:val="00B337EA"/>
    <w:rsid w:val="00B36BD8"/>
    <w:rsid w:val="00B3738A"/>
    <w:rsid w:val="00B406B6"/>
    <w:rsid w:val="00B52DF3"/>
    <w:rsid w:val="00B549E8"/>
    <w:rsid w:val="00B608AD"/>
    <w:rsid w:val="00B61779"/>
    <w:rsid w:val="00B62B81"/>
    <w:rsid w:val="00B75765"/>
    <w:rsid w:val="00B85247"/>
    <w:rsid w:val="00B85296"/>
    <w:rsid w:val="00B878C2"/>
    <w:rsid w:val="00B90A12"/>
    <w:rsid w:val="00BA1627"/>
    <w:rsid w:val="00BB17AC"/>
    <w:rsid w:val="00BB4097"/>
    <w:rsid w:val="00BB6428"/>
    <w:rsid w:val="00BC29E6"/>
    <w:rsid w:val="00BD0775"/>
    <w:rsid w:val="00BD17A8"/>
    <w:rsid w:val="00BD277B"/>
    <w:rsid w:val="00BD2B5F"/>
    <w:rsid w:val="00BF0B90"/>
    <w:rsid w:val="00BF2AA6"/>
    <w:rsid w:val="00C025E3"/>
    <w:rsid w:val="00C03EFE"/>
    <w:rsid w:val="00C11960"/>
    <w:rsid w:val="00C16D3F"/>
    <w:rsid w:val="00C277BC"/>
    <w:rsid w:val="00C3122E"/>
    <w:rsid w:val="00C458E6"/>
    <w:rsid w:val="00C460A9"/>
    <w:rsid w:val="00C56600"/>
    <w:rsid w:val="00C614AD"/>
    <w:rsid w:val="00C617D8"/>
    <w:rsid w:val="00C61904"/>
    <w:rsid w:val="00C64691"/>
    <w:rsid w:val="00C735DA"/>
    <w:rsid w:val="00C75995"/>
    <w:rsid w:val="00C855DF"/>
    <w:rsid w:val="00C90F3E"/>
    <w:rsid w:val="00C921E3"/>
    <w:rsid w:val="00C93871"/>
    <w:rsid w:val="00CA006C"/>
    <w:rsid w:val="00CA0864"/>
    <w:rsid w:val="00CA1B4B"/>
    <w:rsid w:val="00CA5896"/>
    <w:rsid w:val="00CA5EBB"/>
    <w:rsid w:val="00CA7180"/>
    <w:rsid w:val="00CB09A0"/>
    <w:rsid w:val="00CB130B"/>
    <w:rsid w:val="00CB2F07"/>
    <w:rsid w:val="00CC016A"/>
    <w:rsid w:val="00CC2F25"/>
    <w:rsid w:val="00CE15AE"/>
    <w:rsid w:val="00CE2454"/>
    <w:rsid w:val="00CE784D"/>
    <w:rsid w:val="00CF1059"/>
    <w:rsid w:val="00CF1B3C"/>
    <w:rsid w:val="00CF216B"/>
    <w:rsid w:val="00D00DC3"/>
    <w:rsid w:val="00D06F26"/>
    <w:rsid w:val="00D11172"/>
    <w:rsid w:val="00D25B5D"/>
    <w:rsid w:val="00D27EC1"/>
    <w:rsid w:val="00D46FFF"/>
    <w:rsid w:val="00D52D08"/>
    <w:rsid w:val="00D54EBE"/>
    <w:rsid w:val="00D56526"/>
    <w:rsid w:val="00D56A78"/>
    <w:rsid w:val="00D61EC9"/>
    <w:rsid w:val="00D64085"/>
    <w:rsid w:val="00D71F7E"/>
    <w:rsid w:val="00D7243A"/>
    <w:rsid w:val="00D779B3"/>
    <w:rsid w:val="00D8062A"/>
    <w:rsid w:val="00D8334D"/>
    <w:rsid w:val="00D95F19"/>
    <w:rsid w:val="00DA3123"/>
    <w:rsid w:val="00DA6F60"/>
    <w:rsid w:val="00DA78D9"/>
    <w:rsid w:val="00DA7C5C"/>
    <w:rsid w:val="00DB07FE"/>
    <w:rsid w:val="00DB0965"/>
    <w:rsid w:val="00DB63B9"/>
    <w:rsid w:val="00DC4C11"/>
    <w:rsid w:val="00DC51B5"/>
    <w:rsid w:val="00DC6A79"/>
    <w:rsid w:val="00DD062B"/>
    <w:rsid w:val="00DD4F0C"/>
    <w:rsid w:val="00DE473E"/>
    <w:rsid w:val="00E04734"/>
    <w:rsid w:val="00E07D21"/>
    <w:rsid w:val="00E07D55"/>
    <w:rsid w:val="00E14393"/>
    <w:rsid w:val="00E17532"/>
    <w:rsid w:val="00E20372"/>
    <w:rsid w:val="00E20389"/>
    <w:rsid w:val="00E2163D"/>
    <w:rsid w:val="00E36423"/>
    <w:rsid w:val="00E423EF"/>
    <w:rsid w:val="00E466CD"/>
    <w:rsid w:val="00E47795"/>
    <w:rsid w:val="00E610AC"/>
    <w:rsid w:val="00E63C00"/>
    <w:rsid w:val="00E674F6"/>
    <w:rsid w:val="00E7146A"/>
    <w:rsid w:val="00E7433D"/>
    <w:rsid w:val="00E7746D"/>
    <w:rsid w:val="00E84575"/>
    <w:rsid w:val="00E87541"/>
    <w:rsid w:val="00E92363"/>
    <w:rsid w:val="00EA04DB"/>
    <w:rsid w:val="00EA1356"/>
    <w:rsid w:val="00EA4501"/>
    <w:rsid w:val="00EB2412"/>
    <w:rsid w:val="00EC0859"/>
    <w:rsid w:val="00EC4F9C"/>
    <w:rsid w:val="00EC6304"/>
    <w:rsid w:val="00ED5215"/>
    <w:rsid w:val="00EE0DAC"/>
    <w:rsid w:val="00EE5BDB"/>
    <w:rsid w:val="00EF4F2A"/>
    <w:rsid w:val="00EF6FCB"/>
    <w:rsid w:val="00F02A07"/>
    <w:rsid w:val="00F07850"/>
    <w:rsid w:val="00F112E9"/>
    <w:rsid w:val="00F125C5"/>
    <w:rsid w:val="00F132D5"/>
    <w:rsid w:val="00F14F9A"/>
    <w:rsid w:val="00F33B84"/>
    <w:rsid w:val="00F42A55"/>
    <w:rsid w:val="00F47D30"/>
    <w:rsid w:val="00F51B35"/>
    <w:rsid w:val="00F63555"/>
    <w:rsid w:val="00F711B8"/>
    <w:rsid w:val="00F75470"/>
    <w:rsid w:val="00F76B9A"/>
    <w:rsid w:val="00F81ECF"/>
    <w:rsid w:val="00F836BB"/>
    <w:rsid w:val="00F84481"/>
    <w:rsid w:val="00F910F7"/>
    <w:rsid w:val="00F9116C"/>
    <w:rsid w:val="00F94672"/>
    <w:rsid w:val="00FA3CA7"/>
    <w:rsid w:val="00FA77A3"/>
    <w:rsid w:val="00FB0F42"/>
    <w:rsid w:val="00FB2E1B"/>
    <w:rsid w:val="00FC49C8"/>
    <w:rsid w:val="00FE324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DCD259"/>
  <w15:chartTrackingRefBased/>
  <w15:docId w15:val="{B8353954-9FE3-4DB4-8C6E-88185064C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8"/>
    </w:rPr>
  </w:style>
  <w:style w:type="paragraph" w:styleId="Heading1">
    <w:name w:val="heading 1"/>
    <w:basedOn w:val="Normal"/>
    <w:next w:val="Normal"/>
    <w:qFormat/>
    <w:pPr>
      <w:keepNext/>
      <w:spacing w:line="280" w:lineRule="exact"/>
      <w:ind w:right="43"/>
      <w:outlineLvl w:val="0"/>
    </w:pPr>
    <w:rPr>
      <w:rFonts w:ascii="Angsana New" w:hAnsi="Angsana New"/>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 Char"/>
    <w:basedOn w:val="Normal"/>
    <w:link w:val="HeaderChar"/>
    <w:uiPriority w:val="99"/>
    <w:pPr>
      <w:widowControl w:val="0"/>
      <w:tabs>
        <w:tab w:val="center" w:pos="4153"/>
        <w:tab w:val="right" w:pos="8306"/>
      </w:tabs>
      <w:overflowPunct w:val="0"/>
      <w:autoSpaceDE w:val="0"/>
      <w:autoSpaceDN w:val="0"/>
      <w:adjustRightInd w:val="0"/>
      <w:textAlignment w:val="baseline"/>
    </w:pPr>
    <w:rPr>
      <w:rFonts w:hAnsi="CordiaUPC" w:cs="AngsanaUPC"/>
    </w:rPr>
  </w:style>
  <w:style w:type="paragraph" w:styleId="Footer">
    <w:name w:val="footer"/>
    <w:basedOn w:val="Normal"/>
    <w:pPr>
      <w:widowControl w:val="0"/>
      <w:tabs>
        <w:tab w:val="center" w:pos="4153"/>
        <w:tab w:val="right" w:pos="8306"/>
      </w:tabs>
      <w:overflowPunct w:val="0"/>
      <w:autoSpaceDE w:val="0"/>
      <w:autoSpaceDN w:val="0"/>
      <w:adjustRightInd w:val="0"/>
      <w:textAlignment w:val="baseline"/>
    </w:pPr>
    <w:rPr>
      <w:rFonts w:hAnsi="CordiaUPC"/>
    </w:rPr>
  </w:style>
  <w:style w:type="character" w:styleId="PageNumber">
    <w:name w:val="page number"/>
    <w:rPr>
      <w:rFonts w:ascii="Times New Roman" w:cs="CordiaUPC"/>
      <w:sz w:val="20"/>
      <w:szCs w:val="20"/>
    </w:rPr>
  </w:style>
  <w:style w:type="paragraph" w:styleId="BodyText">
    <w:name w:val="Body Text"/>
    <w:basedOn w:val="Normal"/>
    <w:pPr>
      <w:overflowPunct w:val="0"/>
      <w:autoSpaceDE w:val="0"/>
      <w:autoSpaceDN w:val="0"/>
      <w:adjustRightInd w:val="0"/>
      <w:jc w:val="both"/>
      <w:textAlignment w:val="baseline"/>
    </w:pPr>
    <w:rPr>
      <w:rFonts w:hAnsi="CordiaUPC"/>
      <w:szCs w:val="24"/>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tabs>
        <w:tab w:val="decimal" w:pos="6930"/>
      </w:tabs>
      <w:spacing w:line="240" w:lineRule="exact"/>
      <w:jc w:val="center"/>
    </w:pPr>
    <w:rPr>
      <w:b/>
      <w:bCs/>
      <w:sz w:val="20"/>
      <w:szCs w:val="20"/>
    </w:rPr>
  </w:style>
  <w:style w:type="paragraph" w:styleId="BalloonText">
    <w:name w:val="Balloon Text"/>
    <w:basedOn w:val="Normal"/>
    <w:semiHidden/>
    <w:rsid w:val="00C61904"/>
    <w:rPr>
      <w:rFonts w:ascii="Tahoma" w:hAnsi="Tahoma"/>
      <w:sz w:val="16"/>
      <w:szCs w:val="18"/>
    </w:rPr>
  </w:style>
  <w:style w:type="paragraph" w:styleId="BodyTextIndent">
    <w:name w:val="Body Text Indent"/>
    <w:basedOn w:val="Normal"/>
    <w:rsid w:val="000264C1"/>
    <w:pPr>
      <w:spacing w:after="120"/>
      <w:ind w:left="360"/>
    </w:pPr>
  </w:style>
  <w:style w:type="character" w:customStyle="1" w:styleId="HeaderChar">
    <w:name w:val="Header Char"/>
    <w:aliases w:val=" Char Char"/>
    <w:link w:val="Header"/>
    <w:uiPriority w:val="99"/>
    <w:rsid w:val="009072D3"/>
    <w:rPr>
      <w:rFonts w:hAnsi="CordiaUPC" w:cs="AngsanaUPC"/>
      <w:sz w:val="24"/>
      <w:szCs w:val="28"/>
    </w:rPr>
  </w:style>
  <w:style w:type="paragraph" w:styleId="PlainText">
    <w:name w:val="Plain Text"/>
    <w:basedOn w:val="Normal"/>
    <w:link w:val="PlainTextChar"/>
    <w:uiPriority w:val="99"/>
    <w:unhideWhenUsed/>
    <w:rsid w:val="00152687"/>
    <w:rPr>
      <w:rFonts w:eastAsia="MS Mincho" w:cs="Times New Roman"/>
      <w:sz w:val="28"/>
    </w:rPr>
  </w:style>
  <w:style w:type="character" w:customStyle="1" w:styleId="PlainTextChar">
    <w:name w:val="Plain Text Char"/>
    <w:link w:val="PlainText"/>
    <w:uiPriority w:val="99"/>
    <w:rsid w:val="00152687"/>
    <w:rPr>
      <w:rFonts w:eastAsia="MS Mincho" w:cs="Times New Roman"/>
      <w:sz w:val="28"/>
      <w:szCs w:val="28"/>
      <w:lang w:eastAsia="en-US"/>
    </w:rPr>
  </w:style>
  <w:style w:type="paragraph" w:styleId="BodyText3">
    <w:name w:val="Body Text 3"/>
    <w:basedOn w:val="Normal"/>
    <w:link w:val="BodyText3Char"/>
    <w:rsid w:val="00746E5A"/>
    <w:pPr>
      <w:spacing w:after="120"/>
    </w:pPr>
    <w:rPr>
      <w:sz w:val="16"/>
      <w:szCs w:val="20"/>
    </w:rPr>
  </w:style>
  <w:style w:type="character" w:customStyle="1" w:styleId="BodyText3Char">
    <w:name w:val="Body Text 3 Char"/>
    <w:link w:val="BodyText3"/>
    <w:rsid w:val="00746E5A"/>
    <w:rPr>
      <w:sz w:val="16"/>
      <w:lang w:eastAsia="en-US"/>
    </w:rPr>
  </w:style>
  <w:style w:type="character" w:styleId="CommentReference">
    <w:name w:val="annotation reference"/>
    <w:rsid w:val="004B074A"/>
    <w:rPr>
      <w:sz w:val="16"/>
      <w:szCs w:val="16"/>
    </w:rPr>
  </w:style>
  <w:style w:type="paragraph" w:styleId="CommentText">
    <w:name w:val="annotation text"/>
    <w:basedOn w:val="Normal"/>
    <w:link w:val="CommentTextChar"/>
    <w:rsid w:val="004B074A"/>
    <w:rPr>
      <w:sz w:val="20"/>
      <w:szCs w:val="25"/>
    </w:rPr>
  </w:style>
  <w:style w:type="character" w:customStyle="1" w:styleId="CommentTextChar">
    <w:name w:val="Comment Text Char"/>
    <w:basedOn w:val="DefaultParagraphFont"/>
    <w:link w:val="CommentText"/>
    <w:rsid w:val="004B074A"/>
    <w:rPr>
      <w:szCs w:val="25"/>
    </w:rPr>
  </w:style>
  <w:style w:type="character" w:styleId="Hyperlink">
    <w:name w:val="Hyperlink"/>
    <w:basedOn w:val="DefaultParagraphFont"/>
    <w:rsid w:val="00EB2412"/>
    <w:rPr>
      <w:color w:val="0563C1" w:themeColor="hyperlink"/>
      <w:u w:val="single"/>
    </w:rPr>
  </w:style>
  <w:style w:type="character" w:styleId="UnresolvedMention">
    <w:name w:val="Unresolved Mention"/>
    <w:basedOn w:val="DefaultParagraphFont"/>
    <w:uiPriority w:val="99"/>
    <w:semiHidden/>
    <w:unhideWhenUsed/>
    <w:rsid w:val="00EB2412"/>
    <w:rPr>
      <w:color w:val="605E5C"/>
      <w:shd w:val="clear" w:color="auto" w:fill="E1DFDD"/>
    </w:rPr>
  </w:style>
  <w:style w:type="paragraph" w:styleId="Revision">
    <w:name w:val="Revision"/>
    <w:hidden/>
    <w:uiPriority w:val="99"/>
    <w:semiHidden/>
    <w:rsid w:val="00BF0B90"/>
    <w:rPr>
      <w:sz w:val="24"/>
      <w:szCs w:val="28"/>
    </w:rPr>
  </w:style>
  <w:style w:type="paragraph" w:styleId="CommentSubject">
    <w:name w:val="annotation subject"/>
    <w:basedOn w:val="CommentText"/>
    <w:next w:val="CommentText"/>
    <w:link w:val="CommentSubjectChar"/>
    <w:semiHidden/>
    <w:unhideWhenUsed/>
    <w:rsid w:val="00BF0B90"/>
    <w:rPr>
      <w:b/>
      <w:bCs/>
    </w:rPr>
  </w:style>
  <w:style w:type="character" w:customStyle="1" w:styleId="CommentSubjectChar">
    <w:name w:val="Comment Subject Char"/>
    <w:basedOn w:val="CommentTextChar"/>
    <w:link w:val="CommentSubject"/>
    <w:semiHidden/>
    <w:rsid w:val="00BF0B90"/>
    <w:rPr>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61700">
      <w:bodyDiv w:val="1"/>
      <w:marLeft w:val="0"/>
      <w:marRight w:val="0"/>
      <w:marTop w:val="0"/>
      <w:marBottom w:val="0"/>
      <w:divBdr>
        <w:top w:val="none" w:sz="0" w:space="0" w:color="auto"/>
        <w:left w:val="none" w:sz="0" w:space="0" w:color="auto"/>
        <w:bottom w:val="none" w:sz="0" w:space="0" w:color="auto"/>
        <w:right w:val="none" w:sz="0" w:space="0" w:color="auto"/>
      </w:divBdr>
    </w:div>
    <w:div w:id="46354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3D25CA-1170-4C2B-83C3-B12C10DADC36}">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77</TotalTime>
  <Pages>2</Pages>
  <Words>606</Words>
  <Characters>3501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SICCO SECURITIES PUBLIC COMPANY LIMITED AND ITS SUBSIDIARY</vt:lpstr>
    </vt:vector>
  </TitlesOfParts>
  <Company>SICCO</Company>
  <LinksUpToDate>false</LinksUpToDate>
  <CharactersWithSpaces>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SICCO SECURITIES PUBLIC COMPANY LIMITED AND ITS SUBSIDIARY</dc:title>
  <dc:subject/>
  <dc:creator>administrator</dc:creator>
  <cp:keywords/>
  <cp:lastModifiedBy>pthantapanit@deloitte.com</cp:lastModifiedBy>
  <cp:revision>68</cp:revision>
  <cp:lastPrinted>2025-08-13T08:31:00Z</cp:lastPrinted>
  <dcterms:created xsi:type="dcterms:W3CDTF">2024-05-02T07:33:00Z</dcterms:created>
  <dcterms:modified xsi:type="dcterms:W3CDTF">2025-08-13T08:32:00Z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2022-05-12T04:35:20Z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a1b3060a-96cf-4a6e-b83e-f73f5df4bb5d</vt:lpwstr>
  </property>
  <property fmtid="{D5CDD505-2E9C-101B-9397-08002B2CF9AE}" pid="8" name="MSIP_Label_ea60d57e-af5b-4752-ac57-3e4f28ca11dc_ContentBits">
    <vt:lpwstr>0</vt:lpwstr>
  </property>
</Properties>
</file>